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E5E142B" w14:textId="77777777" w:rsidR="00DC1FE5" w:rsidRPr="001A2B7A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32"/>
          <w:szCs w:val="32"/>
        </w:rPr>
      </w:pPr>
    </w:p>
    <w:p w14:paraId="3A389C20" w14:textId="0EA84770" w:rsidR="00CF1E74" w:rsidRPr="00284062" w:rsidRDefault="006D6FC4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bookmarkStart w:id="0" w:name="_GoBack"/>
      <w:r w:rsidRPr="00284062">
        <w:rPr>
          <w:rFonts w:cs="Calibri"/>
          <w:b/>
          <w:sz w:val="32"/>
          <w:szCs w:val="32"/>
        </w:rPr>
        <w:t>Memorial Steilneset: espaço construído,</w:t>
      </w:r>
      <w:r w:rsidR="003D328D" w:rsidRPr="00284062">
        <w:rPr>
          <w:rFonts w:cs="Calibri"/>
          <w:b/>
          <w:sz w:val="32"/>
          <w:szCs w:val="32"/>
        </w:rPr>
        <w:t xml:space="preserve"> espaço de reflexão</w:t>
      </w:r>
    </w:p>
    <w:p w14:paraId="28CA3DAF" w14:textId="77777777" w:rsidR="00863708" w:rsidRPr="00284062" w:rsidRDefault="00863708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</w:p>
    <w:p w14:paraId="71AD360B" w14:textId="02137DA9" w:rsidR="00CF1E74" w:rsidRPr="00284062" w:rsidRDefault="003D328D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 w:rsidRPr="00284062">
        <w:rPr>
          <w:rFonts w:cs="Calibri"/>
          <w:sz w:val="24"/>
          <w:szCs w:val="24"/>
        </w:rPr>
        <w:t>GUILHERMINO, Leila Araujo</w:t>
      </w:r>
    </w:p>
    <w:bookmarkEnd w:id="0"/>
    <w:p w14:paraId="1CFF2B2D" w14:textId="40C85B91" w:rsidR="00FD264B" w:rsidRPr="00284062" w:rsidRDefault="00AD2674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  <w:r w:rsidRPr="00284062">
        <w:rPr>
          <w:rFonts w:cs="Calibri"/>
          <w:sz w:val="20"/>
          <w:szCs w:val="20"/>
        </w:rPr>
        <w:tab/>
      </w:r>
      <w:r w:rsidR="001A3B6A" w:rsidRPr="00284062">
        <w:rPr>
          <w:rFonts w:cs="Calibri"/>
          <w:sz w:val="20"/>
          <w:szCs w:val="20"/>
        </w:rPr>
        <w:t xml:space="preserve">Contato: </w:t>
      </w:r>
      <w:r w:rsidR="003D328D" w:rsidRPr="00284062">
        <w:rPr>
          <w:rFonts w:cs="Calibri"/>
          <w:sz w:val="20"/>
          <w:szCs w:val="20"/>
        </w:rPr>
        <w:t>leilaguilhermino@yahoo.com.br</w:t>
      </w:r>
    </w:p>
    <w:p w14:paraId="04281579" w14:textId="77777777" w:rsidR="00D22DFD" w:rsidRPr="00284062" w:rsidRDefault="00D22DFD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</w:p>
    <w:p w14:paraId="10CC784F" w14:textId="616D92BB" w:rsidR="00D22DFD" w:rsidRPr="00284062" w:rsidRDefault="00D22DFD" w:rsidP="00D22DF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24"/>
          <w:szCs w:val="24"/>
        </w:rPr>
      </w:pPr>
      <w:r w:rsidRPr="00284062">
        <w:rPr>
          <w:rFonts w:cs="Calibri"/>
          <w:color w:val="000000"/>
          <w:sz w:val="24"/>
          <w:szCs w:val="24"/>
        </w:rPr>
        <w:t>Linha de pesquisa</w:t>
      </w:r>
      <w:r w:rsidR="003D328D" w:rsidRPr="00284062">
        <w:rPr>
          <w:rFonts w:cs="Calibri"/>
          <w:color w:val="000000"/>
          <w:sz w:val="24"/>
          <w:szCs w:val="24"/>
        </w:rPr>
        <w:t>: Projeto de Arquitetura</w:t>
      </w:r>
    </w:p>
    <w:p w14:paraId="0F302EC4" w14:textId="77777777" w:rsidR="00DC1FE5" w:rsidRPr="00284062" w:rsidRDefault="00DC1FE5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467ED44B" w14:textId="77777777" w:rsidR="00CF1E74" w:rsidRPr="00284062" w:rsidRDefault="00C12F16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84062">
        <w:rPr>
          <w:rFonts w:cs="Calibri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35B6F2A" wp14:editId="45C47A32">
                <wp:simplePos x="0" y="0"/>
                <wp:positionH relativeFrom="column">
                  <wp:posOffset>50800</wp:posOffset>
                </wp:positionH>
                <wp:positionV relativeFrom="paragraph">
                  <wp:posOffset>74930</wp:posOffset>
                </wp:positionV>
                <wp:extent cx="6686550" cy="0"/>
                <wp:effectExtent l="12700" t="8255" r="6350" b="10795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2DC441" id="Conector reto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" strokecolor="#938953" strokeweight="1pt"/>
            </w:pict>
          </mc:Fallback>
        </mc:AlternateContent>
      </w:r>
    </w:p>
    <w:p w14:paraId="0AA318D7" w14:textId="77777777" w:rsidR="007B2EAF" w:rsidRPr="00284062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RPr="00284062" w:rsidSect="00FD264B">
          <w:headerReference w:type="even" r:id="rId7"/>
          <w:headerReference w:type="default" r:id="rId8"/>
          <w:footerReference w:type="even" r:id="rId9"/>
          <w:footerReference w:type="default" r:id="rId10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2DFCB08C" w14:textId="48ED18C2" w:rsidR="00CF1E74" w:rsidRPr="00284062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4"/>
          <w:szCs w:val="24"/>
        </w:rPr>
      </w:pPr>
      <w:r w:rsidRPr="00284062">
        <w:rPr>
          <w:rFonts w:cs="Calibri"/>
          <w:b/>
          <w:sz w:val="24"/>
          <w:szCs w:val="24"/>
        </w:rPr>
        <w:lastRenderedPageBreak/>
        <w:t>INTRODUÇÃO</w:t>
      </w:r>
    </w:p>
    <w:p w14:paraId="520DA66D" w14:textId="77777777" w:rsidR="00CF1E74" w:rsidRPr="00284062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14:paraId="70B68CF2" w14:textId="2EEB710D" w:rsidR="00744D45" w:rsidRPr="00284062" w:rsidRDefault="00744D45" w:rsidP="007B2EAF">
      <w:pPr>
        <w:autoSpaceDE w:val="0"/>
        <w:autoSpaceDN w:val="0"/>
        <w:adjustRightInd w:val="0"/>
        <w:spacing w:after="0" w:line="240" w:lineRule="auto"/>
        <w:jc w:val="both"/>
        <w:rPr>
          <w:shd w:val="clear" w:color="auto" w:fill="FFFFFF"/>
        </w:rPr>
      </w:pPr>
      <w:r w:rsidRPr="00284062">
        <w:rPr>
          <w:rFonts w:cs="Calibri"/>
        </w:rPr>
        <w:t>O Memorial Steilneset</w:t>
      </w:r>
      <w:r w:rsidR="00E31E8D" w:rsidRPr="00284062">
        <w:rPr>
          <w:rFonts w:cs="Calibri"/>
        </w:rPr>
        <w:t xml:space="preserve"> (Steilneset Memorial)</w:t>
      </w:r>
      <w:r w:rsidRPr="00284062">
        <w:rPr>
          <w:rFonts w:cs="Calibri"/>
        </w:rPr>
        <w:t xml:space="preserve"> foi construído </w:t>
      </w:r>
      <w:r w:rsidR="00E31E8D" w:rsidRPr="00284062">
        <w:rPr>
          <w:rFonts w:cs="Calibri"/>
        </w:rPr>
        <w:t xml:space="preserve">na pequena cidade de </w:t>
      </w:r>
      <w:r w:rsidR="00E31E8D" w:rsidRPr="00284062">
        <w:rPr>
          <w:shd w:val="clear" w:color="auto" w:fill="FFFFFF"/>
        </w:rPr>
        <w:t xml:space="preserve">Vardø, norte da Noruega, em homenagem </w:t>
      </w:r>
      <w:r w:rsidR="00C5500C" w:rsidRPr="00284062">
        <w:rPr>
          <w:shd w:val="clear" w:color="auto" w:fill="FFFFFF"/>
        </w:rPr>
        <w:t>aos</w:t>
      </w:r>
      <w:r w:rsidR="00E31E8D" w:rsidRPr="00284062">
        <w:rPr>
          <w:shd w:val="clear" w:color="auto" w:fill="FFFFFF"/>
        </w:rPr>
        <w:t xml:space="preserve"> 91 condenad</w:t>
      </w:r>
      <w:r w:rsidR="00C5500C" w:rsidRPr="00284062">
        <w:rPr>
          <w:shd w:val="clear" w:color="auto" w:fill="FFFFFF"/>
        </w:rPr>
        <w:t>o</w:t>
      </w:r>
      <w:r w:rsidR="00E31E8D" w:rsidRPr="00284062">
        <w:rPr>
          <w:shd w:val="clear" w:color="auto" w:fill="FFFFFF"/>
        </w:rPr>
        <w:t xml:space="preserve">s </w:t>
      </w:r>
      <w:r w:rsidR="004C4533" w:rsidRPr="00284062">
        <w:rPr>
          <w:shd w:val="clear" w:color="auto" w:fill="FFFFFF"/>
        </w:rPr>
        <w:t xml:space="preserve">pela prática de bruxaria durante </w:t>
      </w:r>
      <w:r w:rsidR="00E31E8D" w:rsidRPr="00284062">
        <w:rPr>
          <w:shd w:val="clear" w:color="auto" w:fill="FFFFFF"/>
        </w:rPr>
        <w:t>a Inquisição</w:t>
      </w:r>
      <w:r w:rsidR="003009A2" w:rsidRPr="00284062">
        <w:rPr>
          <w:shd w:val="clear" w:color="auto" w:fill="FFFFFF"/>
        </w:rPr>
        <w:t xml:space="preserve"> (</w:t>
      </w:r>
      <w:r w:rsidR="004C4533" w:rsidRPr="00284062">
        <w:rPr>
          <w:shd w:val="clear" w:color="auto" w:fill="FFFFFF"/>
        </w:rPr>
        <w:t>Século XVII</w:t>
      </w:r>
      <w:r w:rsidR="003009A2" w:rsidRPr="00284062">
        <w:rPr>
          <w:shd w:val="clear" w:color="auto" w:fill="FFFFFF"/>
        </w:rPr>
        <w:t>)</w:t>
      </w:r>
      <w:r w:rsidR="00E31E8D" w:rsidRPr="00284062">
        <w:rPr>
          <w:shd w:val="clear" w:color="auto" w:fill="FFFFFF"/>
        </w:rPr>
        <w:t>.</w:t>
      </w:r>
    </w:p>
    <w:p w14:paraId="264A0897" w14:textId="3E074645" w:rsidR="00E31E8D" w:rsidRPr="00284062" w:rsidRDefault="00E31E8D" w:rsidP="007B2EAF">
      <w:pPr>
        <w:autoSpaceDE w:val="0"/>
        <w:autoSpaceDN w:val="0"/>
        <w:adjustRightInd w:val="0"/>
        <w:spacing w:after="0" w:line="240" w:lineRule="auto"/>
        <w:jc w:val="both"/>
        <w:rPr>
          <w:shd w:val="clear" w:color="auto" w:fill="FFFFFF"/>
        </w:rPr>
      </w:pPr>
      <w:r w:rsidRPr="00284062">
        <w:rPr>
          <w:shd w:val="clear" w:color="auto" w:fill="FFFFFF"/>
        </w:rPr>
        <w:t xml:space="preserve">O projeto, desenvolvido </w:t>
      </w:r>
      <w:r w:rsidR="00C5500C" w:rsidRPr="00284062">
        <w:rPr>
          <w:shd w:val="clear" w:color="auto" w:fill="FFFFFF"/>
        </w:rPr>
        <w:t>por</w:t>
      </w:r>
      <w:r w:rsidRPr="00284062">
        <w:rPr>
          <w:shd w:val="clear" w:color="auto" w:fill="FFFFFF"/>
        </w:rPr>
        <w:t xml:space="preserve"> Peter Zumthor e </w:t>
      </w:r>
      <w:r w:rsidR="00C5500C" w:rsidRPr="00284062">
        <w:rPr>
          <w:shd w:val="clear" w:color="auto" w:fill="FFFFFF"/>
        </w:rPr>
        <w:t>pel</w:t>
      </w:r>
      <w:r w:rsidRPr="00284062">
        <w:rPr>
          <w:shd w:val="clear" w:color="auto" w:fill="FFFFFF"/>
        </w:rPr>
        <w:t>a artista plástica franco-americana Louise de Bourgeois</w:t>
      </w:r>
      <w:r w:rsidR="00C5500C" w:rsidRPr="00284062">
        <w:rPr>
          <w:shd w:val="clear" w:color="auto" w:fill="FFFFFF"/>
        </w:rPr>
        <w:t xml:space="preserve"> entre 2007 e 2009</w:t>
      </w:r>
      <w:r w:rsidRPr="00284062">
        <w:rPr>
          <w:shd w:val="clear" w:color="auto" w:fill="FFFFFF"/>
        </w:rPr>
        <w:t xml:space="preserve">, é apresentado neste artigo como exemplar de uma arquitetura que se dedica a, através </w:t>
      </w:r>
      <w:r w:rsidR="00971BBA" w:rsidRPr="00284062">
        <w:rPr>
          <w:shd w:val="clear" w:color="auto" w:fill="FFFFFF"/>
        </w:rPr>
        <w:t xml:space="preserve">da </w:t>
      </w:r>
      <w:r w:rsidR="007708B0" w:rsidRPr="00284062">
        <w:rPr>
          <w:shd w:val="clear" w:color="auto" w:fill="FFFFFF"/>
        </w:rPr>
        <w:t>busca pela constituição d</w:t>
      </w:r>
      <w:r w:rsidR="003009A2" w:rsidRPr="00284062">
        <w:rPr>
          <w:shd w:val="clear" w:color="auto" w:fill="FFFFFF"/>
        </w:rPr>
        <w:t>e um</w:t>
      </w:r>
      <w:r w:rsidR="007708B0" w:rsidRPr="00284062">
        <w:rPr>
          <w:shd w:val="clear" w:color="auto" w:fill="FFFFFF"/>
        </w:rPr>
        <w:t xml:space="preserve">a </w:t>
      </w:r>
      <w:r w:rsidR="00971BBA" w:rsidRPr="00284062">
        <w:rPr>
          <w:shd w:val="clear" w:color="auto" w:fill="FFFFFF"/>
        </w:rPr>
        <w:t>atmosfera arquitetônica</w:t>
      </w:r>
      <w:r w:rsidRPr="00284062">
        <w:rPr>
          <w:shd w:val="clear" w:color="auto" w:fill="FFFFFF"/>
        </w:rPr>
        <w:t>, promover</w:t>
      </w:r>
      <w:r w:rsidR="00413E3B" w:rsidRPr="00284062">
        <w:rPr>
          <w:shd w:val="clear" w:color="auto" w:fill="FFFFFF"/>
        </w:rPr>
        <w:t xml:space="preserve"> </w:t>
      </w:r>
      <w:r w:rsidRPr="00284062">
        <w:rPr>
          <w:shd w:val="clear" w:color="auto" w:fill="FFFFFF"/>
        </w:rPr>
        <w:t xml:space="preserve">o despertar de emoções e </w:t>
      </w:r>
      <w:r w:rsidR="00413E3B" w:rsidRPr="00284062">
        <w:rPr>
          <w:shd w:val="clear" w:color="auto" w:fill="FFFFFF"/>
        </w:rPr>
        <w:t xml:space="preserve">vínculos </w:t>
      </w:r>
      <w:r w:rsidR="004C4533" w:rsidRPr="00284062">
        <w:rPr>
          <w:shd w:val="clear" w:color="auto" w:fill="FFFFFF"/>
        </w:rPr>
        <w:t xml:space="preserve">entre os usuários e </w:t>
      </w:r>
      <w:r w:rsidR="00413E3B" w:rsidRPr="00284062">
        <w:rPr>
          <w:shd w:val="clear" w:color="auto" w:fill="FFFFFF"/>
        </w:rPr>
        <w:t>o lugar.</w:t>
      </w:r>
      <w:r w:rsidR="00971BBA" w:rsidRPr="00284062">
        <w:rPr>
          <w:shd w:val="clear" w:color="auto" w:fill="FFFFFF"/>
        </w:rPr>
        <w:t xml:space="preserve"> Esta </w:t>
      </w:r>
      <w:r w:rsidR="003009A2" w:rsidRPr="00284062">
        <w:rPr>
          <w:shd w:val="clear" w:color="auto" w:fill="FFFFFF"/>
        </w:rPr>
        <w:t>qualidade</w:t>
      </w:r>
      <w:r w:rsidR="00971BBA" w:rsidRPr="00284062">
        <w:rPr>
          <w:shd w:val="clear" w:color="auto" w:fill="FFFFFF"/>
        </w:rPr>
        <w:t xml:space="preserve">, que o </w:t>
      </w:r>
      <w:r w:rsidR="00A374FF" w:rsidRPr="00284062">
        <w:rPr>
          <w:shd w:val="clear" w:color="auto" w:fill="FFFFFF"/>
        </w:rPr>
        <w:t>alinha a</w:t>
      </w:r>
      <w:r w:rsidR="00971BBA" w:rsidRPr="00284062">
        <w:rPr>
          <w:shd w:val="clear" w:color="auto" w:fill="FFFFFF"/>
        </w:rPr>
        <w:t>os princípios da arquitetura fenomenológica</w:t>
      </w:r>
      <w:r w:rsidR="00522974" w:rsidRPr="00284062">
        <w:rPr>
          <w:shd w:val="clear" w:color="auto" w:fill="FFFFFF"/>
        </w:rPr>
        <w:t xml:space="preserve">, </w:t>
      </w:r>
      <w:r w:rsidR="00A374FF" w:rsidRPr="00284062">
        <w:rPr>
          <w:shd w:val="clear" w:color="auto" w:fill="FFFFFF"/>
        </w:rPr>
        <w:t>reflete uma mudança de</w:t>
      </w:r>
      <w:r w:rsidR="00522974" w:rsidRPr="00284062">
        <w:rPr>
          <w:shd w:val="clear" w:color="auto" w:fill="FFFFFF"/>
        </w:rPr>
        <w:t xml:space="preserve"> paradigma </w:t>
      </w:r>
      <w:r w:rsidR="00A374FF" w:rsidRPr="00284062">
        <w:rPr>
          <w:shd w:val="clear" w:color="auto" w:fill="FFFFFF"/>
        </w:rPr>
        <w:t xml:space="preserve">da disciplina, </w:t>
      </w:r>
      <w:r w:rsidR="00640C5F" w:rsidRPr="00284062">
        <w:rPr>
          <w:shd w:val="clear" w:color="auto" w:fill="FFFFFF"/>
        </w:rPr>
        <w:t>que</w:t>
      </w:r>
      <w:r w:rsidR="00A374FF" w:rsidRPr="00284062">
        <w:rPr>
          <w:shd w:val="clear" w:color="auto" w:fill="FFFFFF"/>
        </w:rPr>
        <w:t xml:space="preserve"> passa a ser </w:t>
      </w:r>
      <w:r w:rsidR="00640C5F" w:rsidRPr="00284062">
        <w:rPr>
          <w:shd w:val="clear" w:color="auto" w:fill="FFFFFF"/>
        </w:rPr>
        <w:t>enfocada</w:t>
      </w:r>
      <w:r w:rsidR="00A374FF" w:rsidRPr="00284062">
        <w:rPr>
          <w:shd w:val="clear" w:color="auto" w:fill="FFFFFF"/>
        </w:rPr>
        <w:t xml:space="preserve"> a partir do indivíduo que a utiliza, e não mais </w:t>
      </w:r>
      <w:r w:rsidR="00640C5F" w:rsidRPr="00284062">
        <w:rPr>
          <w:shd w:val="clear" w:color="auto" w:fill="FFFFFF"/>
        </w:rPr>
        <w:t xml:space="preserve">a partir </w:t>
      </w:r>
      <w:r w:rsidR="00A374FF" w:rsidRPr="00284062">
        <w:rPr>
          <w:shd w:val="clear" w:color="auto" w:fill="FFFFFF"/>
        </w:rPr>
        <w:t>do objeto produzido</w:t>
      </w:r>
      <w:r w:rsidR="00640C5F" w:rsidRPr="00284062">
        <w:rPr>
          <w:shd w:val="clear" w:color="auto" w:fill="FFFFFF"/>
        </w:rPr>
        <w:t xml:space="preserve">, conforme já defendia Endell, no início do Século XX </w:t>
      </w:r>
      <w:r w:rsidR="00A374FF" w:rsidRPr="00284062">
        <w:rPr>
          <w:shd w:val="clear" w:color="auto" w:fill="FFFFFF"/>
        </w:rPr>
        <w:fldChar w:fldCharType="begin"/>
      </w:r>
      <w:r w:rsidR="00A374FF" w:rsidRPr="00284062">
        <w:rPr>
          <w:shd w:val="clear" w:color="auto" w:fill="FFFFFF"/>
        </w:rPr>
        <w:instrText xml:space="preserve"> ADDIN EN.CITE &lt;EndNote&gt;&lt;Cite&gt;&lt;Author&gt;BOHME&lt;/Author&gt;&lt;Year&gt;2013&lt;/Year&gt;&lt;RecNum&gt;11&lt;/RecNum&gt;&lt;Prefix&gt;apud &lt;/Prefix&gt;&lt;Suffix&gt;`, p.24&lt;/Suffix&gt;&lt;DisplayText&gt;(apud BOHME, 2013, p.24)&lt;/DisplayText&gt;&lt;record&gt;&lt;rec-number&gt;11&lt;/rec-number&gt;&lt;foreign-keys&gt;&lt;key app="EN" db-id="92zadxt0i5vawfe59sg5dps15zzfrf5r9a2e" timestamp="1411831456"&gt;11&lt;/key&gt;&lt;/foreign-keys&gt;&lt;ref-type name="Magazine Article"&gt;19&lt;/ref-type&gt;&lt;contributors&gt;&lt;authors&gt;&lt;author&gt;BOHME, Gernot&lt;/author&gt;&lt;/authors&gt;&lt;/contributors&gt;&lt;titles&gt;&lt;title&gt;Atmosphere as mindful physical presence in space&lt;/title&gt;&lt;secondary-title&gt;OASE: Sfeer bouwen | Building Atmosphere&lt;/secondary-title&gt;&lt;/titles&gt;&lt;pages&gt;21-32&lt;/pages&gt;&lt;number&gt;91&lt;/number&gt;&lt;num-vols&gt;semestral&lt;/num-vols&gt;&lt;dates&gt;&lt;year&gt;2013&lt;/year&gt;&lt;/dates&gt;&lt;pub-location&gt;Rotterdam&lt;/pub-location&gt;&lt;publisher&gt;Nai010&lt;/publisher&gt;&lt;isbn&gt;0169-6328&lt;/isbn&gt;&lt;urls&gt;&lt;/urls&gt;&lt;/record&gt;&lt;/Cite&gt;&lt;/EndNote&gt;</w:instrText>
      </w:r>
      <w:r w:rsidR="00A374FF" w:rsidRPr="00284062">
        <w:rPr>
          <w:shd w:val="clear" w:color="auto" w:fill="FFFFFF"/>
        </w:rPr>
        <w:fldChar w:fldCharType="separate"/>
      </w:r>
      <w:r w:rsidR="00A374FF" w:rsidRPr="00284062">
        <w:rPr>
          <w:noProof/>
          <w:shd w:val="clear" w:color="auto" w:fill="FFFFFF"/>
        </w:rPr>
        <w:t>(apud BOHME, 2013, p.24)</w:t>
      </w:r>
      <w:r w:rsidR="00A374FF" w:rsidRPr="00284062">
        <w:rPr>
          <w:shd w:val="clear" w:color="auto" w:fill="FFFFFF"/>
        </w:rPr>
        <w:fldChar w:fldCharType="end"/>
      </w:r>
      <w:r w:rsidR="00640C5F" w:rsidRPr="00284062">
        <w:rPr>
          <w:shd w:val="clear" w:color="auto" w:fill="FFFFFF"/>
        </w:rPr>
        <w:t>.</w:t>
      </w:r>
    </w:p>
    <w:p w14:paraId="01385942" w14:textId="0158AE89" w:rsidR="00E31E8D" w:rsidRPr="00284062" w:rsidRDefault="004C4533" w:rsidP="007B2EAF">
      <w:pPr>
        <w:autoSpaceDE w:val="0"/>
        <w:autoSpaceDN w:val="0"/>
        <w:adjustRightInd w:val="0"/>
        <w:spacing w:after="0" w:line="240" w:lineRule="auto"/>
        <w:jc w:val="both"/>
      </w:pPr>
      <w:r w:rsidRPr="00284062">
        <w:rPr>
          <w:shd w:val="clear" w:color="auto" w:fill="FFFFFF"/>
        </w:rPr>
        <w:t>Este</w:t>
      </w:r>
      <w:r w:rsidR="00413E3B" w:rsidRPr="00284062">
        <w:rPr>
          <w:shd w:val="clear" w:color="auto" w:fill="FFFFFF"/>
        </w:rPr>
        <w:t xml:space="preserve"> </w:t>
      </w:r>
      <w:r w:rsidRPr="00284062">
        <w:rPr>
          <w:shd w:val="clear" w:color="auto" w:fill="FFFFFF"/>
        </w:rPr>
        <w:t>artigo</w:t>
      </w:r>
      <w:r w:rsidR="00413E3B" w:rsidRPr="00284062">
        <w:rPr>
          <w:shd w:val="clear" w:color="auto" w:fill="FFFFFF"/>
        </w:rPr>
        <w:t xml:space="preserve"> </w:t>
      </w:r>
      <w:r w:rsidR="00640C5F" w:rsidRPr="00284062">
        <w:rPr>
          <w:shd w:val="clear" w:color="auto" w:fill="FFFFFF"/>
        </w:rPr>
        <w:t xml:space="preserve">consiste em um </w:t>
      </w:r>
      <w:r w:rsidRPr="00284062">
        <w:rPr>
          <w:shd w:val="clear" w:color="auto" w:fill="FFFFFF"/>
        </w:rPr>
        <w:t xml:space="preserve">recorte dos estudos para a elaboração </w:t>
      </w:r>
      <w:r w:rsidR="00640C5F" w:rsidRPr="00284062">
        <w:rPr>
          <w:shd w:val="clear" w:color="auto" w:fill="FFFFFF"/>
        </w:rPr>
        <w:t>da dissertação</w:t>
      </w:r>
      <w:r w:rsidRPr="00284062">
        <w:rPr>
          <w:shd w:val="clear" w:color="auto" w:fill="FFFFFF"/>
        </w:rPr>
        <w:t xml:space="preserve">, </w:t>
      </w:r>
      <w:r w:rsidR="00413E3B" w:rsidRPr="00284062">
        <w:rPr>
          <w:shd w:val="clear" w:color="auto" w:fill="FFFFFF"/>
        </w:rPr>
        <w:t>"Atmosferas: noção de projeto e percepção na obra de Peter Zumthor"</w:t>
      </w:r>
      <w:r w:rsidRPr="00284062">
        <w:rPr>
          <w:shd w:val="clear" w:color="auto" w:fill="FFFFFF"/>
        </w:rPr>
        <w:t xml:space="preserve">, em </w:t>
      </w:r>
      <w:r w:rsidR="003009A2" w:rsidRPr="00284062">
        <w:rPr>
          <w:shd w:val="clear" w:color="auto" w:fill="FFFFFF"/>
        </w:rPr>
        <w:t>conclusão</w:t>
      </w:r>
      <w:r w:rsidR="00640C5F" w:rsidRPr="00284062">
        <w:rPr>
          <w:shd w:val="clear" w:color="auto" w:fill="FFFFFF"/>
        </w:rPr>
        <w:t>.</w:t>
      </w:r>
    </w:p>
    <w:p w14:paraId="69C4E8A1" w14:textId="77777777" w:rsidR="00E26387" w:rsidRPr="00284062" w:rsidRDefault="00E26387" w:rsidP="007B2EA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73C66700" w14:textId="465BFA6C" w:rsidR="00CF1E74" w:rsidRPr="00284062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84062">
        <w:rPr>
          <w:rFonts w:cs="Calibri"/>
          <w:b/>
          <w:sz w:val="24"/>
          <w:szCs w:val="24"/>
        </w:rPr>
        <w:t>OBJETIVOS</w:t>
      </w:r>
    </w:p>
    <w:p w14:paraId="1D6A6702" w14:textId="77777777" w:rsidR="00863708" w:rsidRPr="00284062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36331750" w14:textId="73F5F22D" w:rsidR="003009A2" w:rsidRPr="00284062" w:rsidRDefault="003009A2" w:rsidP="003009A2">
      <w:pPr>
        <w:autoSpaceDE w:val="0"/>
        <w:autoSpaceDN w:val="0"/>
        <w:adjustRightInd w:val="0"/>
        <w:spacing w:after="0" w:line="240" w:lineRule="auto"/>
        <w:jc w:val="both"/>
      </w:pPr>
      <w:r w:rsidRPr="00284062">
        <w:rPr>
          <w:shd w:val="clear" w:color="auto" w:fill="FFFFFF"/>
        </w:rPr>
        <w:t xml:space="preserve">O estudo se dedica a analisar e discutir três princípios projetuais adotados no projeto do Memorial Steilneset, que se julga terem contribuído </w:t>
      </w:r>
      <w:r w:rsidRPr="00284062">
        <w:t>para potencializar a percepção do que seria sua essência</w:t>
      </w:r>
      <w:r w:rsidRPr="00284062">
        <w:rPr>
          <w:vertAlign w:val="superscript"/>
        </w:rPr>
        <w:t>1</w:t>
      </w:r>
      <w:r w:rsidRPr="00284062">
        <w:t xml:space="preserve">. Serão eles: a. a discussão de conceitos relacionados à temática através dos elementos da arquitetura; b. </w:t>
      </w:r>
      <w:r w:rsidR="007B229D" w:rsidRPr="00284062">
        <w:t xml:space="preserve">o estabelecimento de </w:t>
      </w:r>
      <w:r w:rsidRPr="00284062">
        <w:t xml:space="preserve">vínculos com o lugar </w:t>
      </w:r>
      <w:r w:rsidR="007B229D" w:rsidRPr="00284062">
        <w:t>através da</w:t>
      </w:r>
      <w:r w:rsidRPr="00284062">
        <w:t xml:space="preserve"> arquitetura; e c. a indução </w:t>
      </w:r>
      <w:r w:rsidR="006B30CB" w:rsidRPr="00284062">
        <w:t>a</w:t>
      </w:r>
      <w:r w:rsidRPr="00284062">
        <w:t>os movimentos do usuário durante sua experienciação como forma de despertar-lhes sentimentos e sensações.</w:t>
      </w:r>
    </w:p>
    <w:p w14:paraId="5FEFD2B2" w14:textId="77777777" w:rsidR="00CF1E74" w:rsidRPr="00284062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0E72D228" w14:textId="58ACF525" w:rsidR="00CF1E74" w:rsidRPr="00284062" w:rsidRDefault="009E45D6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84062">
        <w:rPr>
          <w:rFonts w:cs="Calibri"/>
          <w:b/>
          <w:sz w:val="24"/>
          <w:szCs w:val="24"/>
        </w:rPr>
        <w:t>MÉ</w:t>
      </w:r>
      <w:r w:rsidR="00CF1E74" w:rsidRPr="00284062">
        <w:rPr>
          <w:rFonts w:cs="Calibri"/>
          <w:b/>
          <w:sz w:val="24"/>
          <w:szCs w:val="24"/>
        </w:rPr>
        <w:t>TODO</w:t>
      </w:r>
    </w:p>
    <w:p w14:paraId="65F4F3B0" w14:textId="77777777" w:rsidR="00863708" w:rsidRPr="00284062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261C7DCA" w14:textId="69B6F32C" w:rsidR="009E45D6" w:rsidRPr="00284062" w:rsidRDefault="009E45D6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84062">
        <w:rPr>
          <w:rFonts w:cs="Calibri"/>
        </w:rPr>
        <w:t xml:space="preserve">O estudo foi realizado a partir do estudo de referências bibliográficas </w:t>
      </w:r>
      <w:r w:rsidRPr="00284062">
        <w:rPr>
          <w:rFonts w:asciiTheme="minorHAnsi" w:eastAsia="MS Gothic" w:hAnsiTheme="minorHAnsi"/>
          <w:color w:val="000000"/>
        </w:rPr>
        <w:t>− livros, revista e sites especializados −</w:t>
      </w:r>
      <w:r w:rsidRPr="00284062">
        <w:rPr>
          <w:rFonts w:cs="Calibri"/>
        </w:rPr>
        <w:t xml:space="preserve"> e </w:t>
      </w:r>
      <w:r w:rsidRPr="00284062">
        <w:rPr>
          <w:rFonts w:cs="Calibri"/>
        </w:rPr>
        <w:lastRenderedPageBreak/>
        <w:t xml:space="preserve">documentais </w:t>
      </w:r>
      <w:r w:rsidRPr="00284062">
        <w:rPr>
          <w:rFonts w:asciiTheme="minorHAnsi" w:eastAsia="MS Gothic" w:hAnsiTheme="minorHAnsi"/>
          <w:color w:val="000000"/>
        </w:rPr>
        <w:t>− plantas, elevações e fotografias do projeto</w:t>
      </w:r>
      <w:r w:rsidR="00B07D07" w:rsidRPr="00284062">
        <w:rPr>
          <w:rFonts w:asciiTheme="minorHAnsi" w:eastAsia="MS Gothic" w:hAnsiTheme="minorHAnsi"/>
          <w:color w:val="000000"/>
        </w:rPr>
        <w:t>, recolhidos na bibliografia</w:t>
      </w:r>
      <w:r w:rsidR="001E3D6B" w:rsidRPr="00284062">
        <w:rPr>
          <w:rFonts w:asciiTheme="minorHAnsi" w:eastAsia="MS Gothic" w:hAnsiTheme="minorHAnsi"/>
          <w:color w:val="000000"/>
        </w:rPr>
        <w:t xml:space="preserve"> especializada,</w:t>
      </w:r>
      <w:r w:rsidR="00B07D07" w:rsidRPr="00284062">
        <w:rPr>
          <w:rFonts w:asciiTheme="minorHAnsi" w:eastAsia="MS Gothic" w:hAnsiTheme="minorHAnsi"/>
          <w:color w:val="000000"/>
        </w:rPr>
        <w:t xml:space="preserve"> impressa e digital</w:t>
      </w:r>
      <w:r w:rsidRPr="00284062">
        <w:rPr>
          <w:rFonts w:cs="Calibri"/>
        </w:rPr>
        <w:t>.</w:t>
      </w:r>
    </w:p>
    <w:p w14:paraId="0031FA96" w14:textId="77777777" w:rsidR="00CF1E74" w:rsidRPr="00284062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1866F123" w14:textId="179FA7F8" w:rsidR="00CF1E74" w:rsidRPr="00284062" w:rsidRDefault="00D22DFD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84062">
        <w:rPr>
          <w:rFonts w:cs="Calibri"/>
          <w:b/>
          <w:sz w:val="24"/>
          <w:szCs w:val="24"/>
        </w:rPr>
        <w:t>DESENVOLVIMENTO</w:t>
      </w:r>
    </w:p>
    <w:p w14:paraId="26F1014F" w14:textId="77777777" w:rsidR="00CF1E74" w:rsidRPr="00284062" w:rsidRDefault="00CF1E74" w:rsidP="0063519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1B1BBD21" w14:textId="0859EE92" w:rsidR="00205AEE" w:rsidRPr="00284062" w:rsidRDefault="001D1086" w:rsidP="0063519C">
      <w:pPr>
        <w:jc w:val="both"/>
      </w:pPr>
      <w:r w:rsidRPr="00284062">
        <w:t xml:space="preserve">Sobre </w:t>
      </w:r>
      <w:r w:rsidR="0063519C" w:rsidRPr="00284062">
        <w:rPr>
          <w:shd w:val="clear" w:color="auto" w:fill="FFFFFF"/>
        </w:rPr>
        <w:t>Vardø</w:t>
      </w:r>
      <w:r w:rsidR="00205AEE" w:rsidRPr="00284062">
        <w:t xml:space="preserve">, uma ilhota ao extremo Nordeste do país, inserida no Círculo Polar Ártico, Turner </w:t>
      </w:r>
      <w:r w:rsidR="00205AEE" w:rsidRPr="00284062">
        <w:fldChar w:fldCharType="begin"/>
      </w:r>
      <w:r w:rsidR="00C50E10" w:rsidRPr="00284062">
        <w:instrText xml:space="preserve"> ADDIN EN.CITE &lt;EndNote&gt;&lt;Cite ExcludeAuth="1"&gt;&lt;Author&gt;TURNER&lt;/Author&gt;&lt;Year&gt;2012&lt;/Year&gt;&lt;RecNum&gt;89&lt;/RecNum&gt;&lt;DisplayText&gt;(2012)&lt;/DisplayText&gt;&lt;record&gt;&lt;rec-number&gt;89&lt;/rec-number&gt;&lt;foreign-keys&gt;&lt;key app="EN" db-id="92zadxt0i5vawfe59sg5dps15zzfrf5r9a2e" timestamp="1412016730"&gt;89&lt;/key&gt;&lt;/foreign-keys&gt;&lt;ref-type name="Electronic Article"&gt;43&lt;/ref-type&gt;&lt;contributors&gt;&lt;authors&gt;&lt;author&gt;TURNER, Christopher&lt;/author&gt;&lt;/authors&gt;&lt;/contributors&gt;&lt;titles&gt;&lt;title&gt;Peter Zumthor&amp;apos;s Vardo Memorial&lt;/title&gt;&lt;secondary-title&gt;ICON: International Architecture, Design and Culture&lt;/secondary-title&gt;&lt;/titles&gt;&lt;periodical&gt;&lt;full-title&gt;ICON: International Architecture, Design and Culture&lt;/full-title&gt;&lt;/periodical&gt;&lt;dates&gt;&lt;year&gt;2012&lt;/year&gt;&lt;pub-dates&gt;&lt;date&gt;18.07.2014&lt;/date&gt;&lt;/pub-dates&gt;&lt;/dates&gt;&lt;pub-location&gt;Reino Unido&lt;/pub-location&gt;&lt;urls&gt;&lt;related-urls&gt;&lt;url&gt;http://www.iconeye.com/architecture/features/item/9674-peter-zumthor-s-vardo-memorial&lt;/url&gt;&lt;/related-urls&gt;&lt;/urls&gt;&lt;/record&gt;&lt;/Cite&gt;&lt;/EndNote&gt;</w:instrText>
      </w:r>
      <w:r w:rsidR="00205AEE" w:rsidRPr="00284062">
        <w:fldChar w:fldCharType="separate"/>
      </w:r>
      <w:r w:rsidR="00205AEE" w:rsidRPr="00284062">
        <w:rPr>
          <w:noProof/>
        </w:rPr>
        <w:t>(2012)</w:t>
      </w:r>
      <w:r w:rsidR="00205AEE" w:rsidRPr="00284062">
        <w:fldChar w:fldCharType="end"/>
      </w:r>
      <w:r w:rsidRPr="00284062">
        <w:t xml:space="preserve"> descreve</w:t>
      </w:r>
      <w:r w:rsidR="00205AEE" w:rsidRPr="00284062">
        <w:t xml:space="preserve"> como um lugar de ventos fortes, sem árvores e repleto de casas de madeira</w:t>
      </w:r>
      <w:r w:rsidR="00205AEE" w:rsidRPr="00284062">
        <w:rPr>
          <w:rFonts w:eastAsia="MS Gothic"/>
          <w:color w:val="000000"/>
        </w:rPr>
        <w:t>,</w:t>
      </w:r>
      <w:r w:rsidR="00205AEE" w:rsidRPr="00284062">
        <w:t xml:space="preserve"> onde os únicos destaques são a torre da Igreja </w:t>
      </w:r>
      <w:r w:rsidR="00205AEE" w:rsidRPr="00284062">
        <w:rPr>
          <w:shd w:val="clear" w:color="auto" w:fill="FFFFFF"/>
        </w:rPr>
        <w:t>Eyvind Moestue de Vardø (1958) e o Memorial Steilneset</w:t>
      </w:r>
      <w:r w:rsidR="00205AEE" w:rsidRPr="00284062">
        <w:t xml:space="preserve">. 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6"/>
      </w:tblGrid>
      <w:tr w:rsidR="00205AEE" w:rsidRPr="00284062" w14:paraId="58E25409" w14:textId="77777777" w:rsidTr="008A721A">
        <w:trPr>
          <w:jc w:val="center"/>
        </w:trPr>
        <w:tc>
          <w:tcPr>
            <w:tcW w:w="8997" w:type="dxa"/>
            <w:vAlign w:val="center"/>
          </w:tcPr>
          <w:p w14:paraId="12336625" w14:textId="77777777" w:rsidR="00205AEE" w:rsidRPr="000C1116" w:rsidRDefault="00205AEE" w:rsidP="008A721A">
            <w:pPr>
              <w:pStyle w:val="Legenda"/>
              <w:rPr>
                <w:lang w:val="pt-BR"/>
              </w:rPr>
            </w:pPr>
            <w:bookmarkStart w:id="1" w:name="_Toc273625288"/>
            <w:bookmarkStart w:id="2" w:name="_Toc282268387"/>
            <w:r w:rsidRPr="000C1116">
              <w:rPr>
                <w:lang w:val="pt-BR"/>
              </w:rPr>
              <w:t xml:space="preserve">Figura </w:t>
            </w:r>
            <w:r w:rsidRPr="00284062">
              <w:fldChar w:fldCharType="begin"/>
            </w:r>
            <w:r w:rsidRPr="000C1116">
              <w:rPr>
                <w:lang w:val="pt-BR"/>
              </w:rPr>
              <w:instrText xml:space="preserve"> SEQ Figura \* ARABIC </w:instrText>
            </w:r>
            <w:r w:rsidRPr="00284062">
              <w:fldChar w:fldCharType="separate"/>
            </w:r>
            <w:r w:rsidR="000C1116" w:rsidRPr="000C1116">
              <w:rPr>
                <w:noProof/>
                <w:lang w:val="pt-BR"/>
              </w:rPr>
              <w:t>1</w:t>
            </w:r>
            <w:r w:rsidRPr="00284062">
              <w:fldChar w:fldCharType="end"/>
            </w:r>
            <w:r w:rsidRPr="000C1116">
              <w:rPr>
                <w:lang w:val="pt-BR"/>
              </w:rPr>
              <w:t>: O Memorial Steilneset, visto desde a costa.</w:t>
            </w:r>
            <w:bookmarkEnd w:id="1"/>
            <w:bookmarkEnd w:id="2"/>
          </w:p>
        </w:tc>
      </w:tr>
      <w:tr w:rsidR="00205AEE" w:rsidRPr="00284062" w14:paraId="18C2BC00" w14:textId="77777777" w:rsidTr="008A721A">
        <w:trPr>
          <w:jc w:val="center"/>
        </w:trPr>
        <w:tc>
          <w:tcPr>
            <w:tcW w:w="8997" w:type="dxa"/>
            <w:vAlign w:val="center"/>
          </w:tcPr>
          <w:p w14:paraId="7DBEB8C1" w14:textId="77777777" w:rsidR="00205AEE" w:rsidRPr="00284062" w:rsidRDefault="00205AEE" w:rsidP="008A721A">
            <w:pPr>
              <w:pStyle w:val="Legenda"/>
            </w:pPr>
            <w:r w:rsidRPr="00284062">
              <w:rPr>
                <w:noProof/>
                <w:lang w:val="pt-BR" w:eastAsia="pt-BR"/>
              </w:rPr>
              <w:drawing>
                <wp:inline distT="0" distB="0" distL="0" distR="0" wp14:anchorId="58F7ACF6" wp14:editId="5A1BCA94">
                  <wp:extent cx="2694625" cy="1800000"/>
                  <wp:effectExtent l="0" t="0" r="0" b="381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4625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5AEE" w:rsidRPr="00284062" w14:paraId="4E97939B" w14:textId="77777777" w:rsidTr="008A721A">
        <w:trPr>
          <w:jc w:val="center"/>
        </w:trPr>
        <w:tc>
          <w:tcPr>
            <w:tcW w:w="8997" w:type="dxa"/>
          </w:tcPr>
          <w:p w14:paraId="01B31775" w14:textId="53EA6502" w:rsidR="00205AEE" w:rsidRPr="00284062" w:rsidRDefault="00205AEE" w:rsidP="00C50E10">
            <w:pPr>
              <w:pStyle w:val="Legenda"/>
            </w:pPr>
            <w:r w:rsidRPr="00284062">
              <w:t xml:space="preserve">Fonte: </w:t>
            </w:r>
            <w:r w:rsidRPr="00284062">
              <w:fldChar w:fldCharType="begin"/>
            </w:r>
            <w:r w:rsidR="00C50E10" w:rsidRPr="00284062">
              <w:instrText xml:space="preserve"> ADDIN EN.CITE &lt;EndNote&gt;&lt;Cite&gt;&lt;Author&gt;Zakout&lt;/Author&gt;&lt;RecNum&gt;138&lt;/RecNum&gt;&lt;DisplayText&gt;(ZAKOUT e MALLORY, s.d.)&lt;/DisplayText&gt;&lt;record&gt;&lt;rec-number&gt;138&lt;/rec-number&gt;&lt;foreign-keys&gt;&lt;key app="EN" db-id="92zadxt0i5vawfe59sg5dps15zzfrf5r9a2e" timestamp="1420827457"&gt;138&lt;/key&gt;&lt;/foreign-keys&gt;&lt;ref-type name="Web Page"&gt;12&lt;/ref-type&gt;&lt;contributors&gt;&lt;authors&gt;&lt;author&gt;ZAKOUT, Adel&lt;/author&gt;&lt;author&gt;MALLORY, Tom&lt;/author&gt;&lt;/authors&gt;&lt;/contributors&gt;&lt;titles&gt;&lt;title&gt;Open Buildings&lt;/title&gt;&lt;secondary-title&gt;Steilneset Witch Trial Memorial&lt;/secondary-title&gt;&lt;/titles&gt;&lt;volume&gt;2015&lt;/volume&gt;&lt;number&gt;09.01&lt;/number&gt;&lt;dates&gt;&lt;year&gt;s.d.&lt;/year&gt;&lt;/dates&gt;&lt;urls&gt;&lt;related-urls&gt;&lt;url&gt;http://openbuildings.com/buildings/steilneset-witch-trial-memorial-profile-41856&lt;/url&gt;&lt;/related-urls&gt;&lt;/urls&gt;&lt;/record&gt;&lt;/Cite&gt;&lt;/EndNote&gt;</w:instrText>
            </w:r>
            <w:r w:rsidRPr="00284062">
              <w:fldChar w:fldCharType="separate"/>
            </w:r>
            <w:r w:rsidRPr="00284062">
              <w:rPr>
                <w:noProof/>
              </w:rPr>
              <w:t>(ZAKOUT e MALLORY, s.d.)</w:t>
            </w:r>
            <w:r w:rsidRPr="00284062">
              <w:fldChar w:fldCharType="end"/>
            </w:r>
            <w:r w:rsidRPr="00284062">
              <w:t>.</w:t>
            </w:r>
          </w:p>
        </w:tc>
      </w:tr>
    </w:tbl>
    <w:p w14:paraId="2B40BD61" w14:textId="55FC1FEE" w:rsidR="00656540" w:rsidRPr="00284062" w:rsidRDefault="00205AEE" w:rsidP="0063519C">
      <w:pPr>
        <w:jc w:val="both"/>
      </w:pPr>
      <w:r w:rsidRPr="00284062">
        <w:t>O memorial é formado por duas edificações</w:t>
      </w:r>
      <w:r w:rsidR="008E5438" w:rsidRPr="00284062">
        <w:t xml:space="preserve">, descritas por Zumthor </w:t>
      </w:r>
      <w:r w:rsidR="008E5438" w:rsidRPr="00284062">
        <w:fldChar w:fldCharType="begin"/>
      </w:r>
      <w:r w:rsidR="008B661E" w:rsidRPr="00284062">
        <w:instrText xml:space="preserve"> ADDIN EN.CITE &lt;EndNote&gt;&lt;Cite&gt;&lt;Author&gt;ATKIN&lt;/Author&gt;&lt;Year&gt;2014&lt;/Year&gt;&lt;RecNum&gt;93&lt;/RecNum&gt;&lt;Prefix&gt;apud &lt;/Prefix&gt;&lt;DisplayText&gt;(apud ATKIN e GUTHRIE, 2014)&lt;/DisplayText&gt;&lt;record&gt;&lt;rec-number&gt;93&lt;/rec-number&gt;&lt;foreign-keys&gt;&lt;key app="EN" db-id="92zadxt0i5vawfe59sg5dps15zzfrf5r9a2e" timestamp="1412042015"&gt;93&lt;/key&gt;&lt;/foreign-keys&gt;&lt;ref-type name="Electronic Article"&gt;43&lt;/ref-type&gt;&lt;contributors&gt;&lt;authors&gt;&lt;author&gt;ATKIN, Lindy;&lt;/author&gt;&lt;author&gt;GUTHRIE, Stephen&lt;/author&gt;&lt;/authors&gt;&lt;/contributors&gt;&lt;titles&gt;&lt;title&gt;Peter Zumthor’s Vardø memorial&lt;/title&gt;&lt;secondary-title&gt;ARCHITECTUREAU&lt;/secondary-title&gt;&lt;tertiary-title&gt;ARCHITECTUREAU&lt;/tertiary-title&gt;&lt;/titles&gt;&lt;periodical&gt;&lt;full-title&gt;ARCHITECTUREAU&lt;/full-title&gt;&lt;/periodical&gt;&lt;dates&gt;&lt;year&gt;2014&lt;/year&gt;&lt;pub-dates&gt;&lt;date&gt;01.08.2014&lt;/date&gt;&lt;/pub-dates&gt;&lt;/dates&gt;&lt;publisher&gt;Architecture Media Pty Ltd&lt;/publisher&gt;&lt;urls&gt;&lt;related-urls&gt;&lt;url&gt;http://architectureau.com/articles/witchcraft-memorial-vardo-norway/&lt;/url&gt;&lt;/related-urls&gt;&lt;/urls&gt;&lt;/record&gt;&lt;/Cite&gt;&lt;/EndNote&gt;</w:instrText>
      </w:r>
      <w:r w:rsidR="008E5438" w:rsidRPr="00284062">
        <w:fldChar w:fldCharType="separate"/>
      </w:r>
      <w:r w:rsidR="008E5438" w:rsidRPr="00284062">
        <w:rPr>
          <w:noProof/>
        </w:rPr>
        <w:t>(apud ATKIN e GUTHRIE, 2014)</w:t>
      </w:r>
      <w:r w:rsidR="008E5438" w:rsidRPr="00284062">
        <w:fldChar w:fldCharType="end"/>
      </w:r>
      <w:r w:rsidR="008E5438" w:rsidRPr="00284062">
        <w:t xml:space="preserve"> como </w:t>
      </w:r>
      <w:r w:rsidR="006B30CB" w:rsidRPr="00284062">
        <w:t>"</w:t>
      </w:r>
      <w:r w:rsidR="008E5438" w:rsidRPr="00284062">
        <w:t>uma linha e um ponto</w:t>
      </w:r>
      <w:r w:rsidR="006B30CB" w:rsidRPr="00284062">
        <w:t>"</w:t>
      </w:r>
      <w:r w:rsidR="008E5438" w:rsidRPr="00284062">
        <w:t xml:space="preserve">. </w:t>
      </w:r>
      <w:r w:rsidRPr="00284062">
        <w:t xml:space="preserve">A primeira, proposta </w:t>
      </w:r>
      <w:r w:rsidR="00224CD8" w:rsidRPr="00284062">
        <w:t>pelo arquiteto</w:t>
      </w:r>
      <w:r w:rsidRPr="00284062">
        <w:t>, é estreit</w:t>
      </w:r>
      <w:r w:rsidR="008E5438" w:rsidRPr="00284062">
        <w:t>a</w:t>
      </w:r>
      <w:r w:rsidRPr="00284062">
        <w:t xml:space="preserve"> e alongad</w:t>
      </w:r>
      <w:r w:rsidR="008E5438" w:rsidRPr="00284062">
        <w:t>a</w:t>
      </w:r>
      <w:r w:rsidRPr="00284062">
        <w:t>, erguid</w:t>
      </w:r>
      <w:r w:rsidR="008E5438" w:rsidRPr="00284062">
        <w:t>a</w:t>
      </w:r>
      <w:r w:rsidRPr="00284062">
        <w:t xml:space="preserve"> sobre uma delgada estrutura de pinus. No interior dessa, está um volume </w:t>
      </w:r>
      <w:r w:rsidR="00224CD8" w:rsidRPr="00284062">
        <w:t xml:space="preserve">tensionado, </w:t>
      </w:r>
      <w:r w:rsidRPr="00284062">
        <w:t>semelhante a um casulo</w:t>
      </w:r>
      <w:r w:rsidR="00224CD8" w:rsidRPr="00284062">
        <w:t>,</w:t>
      </w:r>
      <w:r w:rsidRPr="00284062">
        <w:t xml:space="preserve"> que conforma o espaço habitável do edifício. Por fim, para acessá-la, duas rampas simétricas dem</w:t>
      </w:r>
      <w:r w:rsidR="00656540" w:rsidRPr="00284062">
        <w:t>arcam as extremidades do volume</w:t>
      </w:r>
      <w:r w:rsidRPr="00284062">
        <w:t xml:space="preserve">. A segunda edificação, contribuição de Bourgeois, consiste em um pequeno cubo de vidro negro, </w:t>
      </w:r>
      <w:r w:rsidR="00656540" w:rsidRPr="00284062">
        <w:t xml:space="preserve">que abriga a instalação </w:t>
      </w:r>
      <w:r w:rsidR="00656540" w:rsidRPr="00284062">
        <w:rPr>
          <w:i/>
        </w:rPr>
        <w:t>“The Damned, The Possessed and The Beloved”</w:t>
      </w:r>
      <w:r w:rsidR="007708B0" w:rsidRPr="00284062">
        <w:rPr>
          <w:vertAlign w:val="superscript"/>
        </w:rPr>
        <w:t>2</w:t>
      </w:r>
      <w:r w:rsidR="00656540" w:rsidRPr="00284062">
        <w:t xml:space="preserve">, concebida pela artista. </w:t>
      </w:r>
    </w:p>
    <w:tbl>
      <w:tblPr>
        <w:tblStyle w:val="Tabelacomgrade"/>
        <w:tblpPr w:leftFromText="180" w:rightFromText="180" w:vertAnchor="text" w:horzAnchor="page" w:tblpX="829" w:tblpY="170"/>
        <w:tblW w:w="4778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70"/>
      </w:tblGrid>
      <w:tr w:rsidR="00FA67BA" w:rsidRPr="00284062" w14:paraId="45A70988" w14:textId="77777777" w:rsidTr="009C0CC8">
        <w:tc>
          <w:tcPr>
            <w:tcW w:w="5000" w:type="pct"/>
          </w:tcPr>
          <w:p w14:paraId="06410FBE" w14:textId="77777777" w:rsidR="00FA67BA" w:rsidRPr="00284062" w:rsidRDefault="00FA67BA" w:rsidP="00FA67BA">
            <w:pPr>
              <w:pStyle w:val="Legenda"/>
            </w:pPr>
            <w:bookmarkStart w:id="3" w:name="_Ref266991208"/>
            <w:bookmarkStart w:id="4" w:name="_Toc273625295"/>
            <w:bookmarkStart w:id="5" w:name="_Toc282268396"/>
            <w:r w:rsidRPr="00284062">
              <w:lastRenderedPageBreak/>
              <w:t xml:space="preserve">Figura </w:t>
            </w:r>
            <w:r w:rsidRPr="00284062">
              <w:fldChar w:fldCharType="begin"/>
            </w:r>
            <w:r w:rsidRPr="00284062">
              <w:instrText xml:space="preserve"> SEQ Figura \* ARABIC </w:instrText>
            </w:r>
            <w:r w:rsidRPr="00284062">
              <w:fldChar w:fldCharType="separate"/>
            </w:r>
            <w:r w:rsidR="000C1116">
              <w:rPr>
                <w:noProof/>
              </w:rPr>
              <w:t>2</w:t>
            </w:r>
            <w:r w:rsidRPr="00284062">
              <w:fldChar w:fldCharType="end"/>
            </w:r>
            <w:bookmarkEnd w:id="3"/>
            <w:r w:rsidRPr="00284062">
              <w:t xml:space="preserve">: </w:t>
            </w:r>
            <w:r w:rsidRPr="00284062">
              <w:rPr>
                <w:i/>
              </w:rPr>
              <w:t>The Damned, The Possessed and The Beloved</w:t>
            </w:r>
            <w:r w:rsidRPr="00284062">
              <w:t>, de Louise Borgeouis.</w:t>
            </w:r>
            <w:bookmarkEnd w:id="4"/>
            <w:bookmarkEnd w:id="5"/>
          </w:p>
          <w:p w14:paraId="0905A173" w14:textId="77777777" w:rsidR="00FA67BA" w:rsidRPr="00284062" w:rsidRDefault="00FA67BA" w:rsidP="00FA67BA">
            <w:pPr>
              <w:pStyle w:val="Legenda"/>
            </w:pPr>
            <w:r w:rsidRPr="00284062">
              <w:rPr>
                <w:noProof/>
                <w:lang w:val="pt-BR" w:eastAsia="pt-BR"/>
              </w:rPr>
              <w:drawing>
                <wp:inline distT="0" distB="0" distL="0" distR="0" wp14:anchorId="34257E60" wp14:editId="1A0A525D">
                  <wp:extent cx="2520000" cy="2967339"/>
                  <wp:effectExtent l="0" t="0" r="0" b="5080"/>
                  <wp:docPr id="1073741829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2967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0F7FCF" w14:textId="46F1767B" w:rsidR="00FA67BA" w:rsidRPr="00284062" w:rsidRDefault="00FA67BA" w:rsidP="008B661E">
            <w:pPr>
              <w:pStyle w:val="Legenda"/>
            </w:pPr>
            <w:r w:rsidRPr="00284062">
              <w:t xml:space="preserve">Fonte: </w:t>
            </w:r>
            <w:r w:rsidRPr="00284062">
              <w:fldChar w:fldCharType="begin"/>
            </w:r>
            <w:r w:rsidR="008B661E" w:rsidRPr="00284062">
              <w:instrText xml:space="preserve"> ADDIN EN.CITE &lt;EndNote&gt;&lt;Cite&gt;&lt;Author&gt;FREARSON&lt;/Author&gt;&lt;Year&gt;2012&lt;/Year&gt;&lt;RecNum&gt;94&lt;/RecNum&gt;&lt;DisplayText&gt;(FREARSON, 2012)&lt;/DisplayText&gt;&lt;record&gt;&lt;rec-number&gt;94&lt;/rec-number&gt;&lt;foreign-keys&gt;&lt;key app="EN" db-id="92zadxt0i5vawfe59sg5dps15zzfrf5r9a2e" timestamp="1412042361"&gt;94&lt;/key&gt;&lt;/foreign-keys&gt;&lt;ref-type name="Electronic Article"&gt;43&lt;/ref-type&gt;&lt;contributors&gt;&lt;authors&gt;&lt;author&gt;FREARSON, Amy&lt;/author&gt;&lt;/authors&gt;&lt;/contributors&gt;&lt;titles&gt;&lt;title&gt;Steilneset Memorial by Peter Zumthor and Louise Bourgeouis&lt;/title&gt;&lt;secondary-title&gt;DEEZEN Magazine&lt;/secondary-title&gt;&lt;tertiary-title&gt;DEEZEN Magazine&lt;/tertiary-title&gt;&lt;/titles&gt;&lt;periodical&gt;&lt;full-title&gt;DEEZEN Magazine&lt;/full-title&gt;&lt;/periodical&gt;&lt;dates&gt;&lt;year&gt;2012&lt;/year&gt;&lt;pub-dates&gt;&lt;date&gt;10.07.2014&lt;/date&gt;&lt;/pub-dates&gt;&lt;/dates&gt;&lt;urls&gt;&lt;related-urls&gt;&lt;url&gt;http://www.dezeen.com/2012/01/03/steilneset-memorial-by-peter-zumthor-and-louise-bourgeois/&lt;/url&gt;&lt;/related-urls&gt;&lt;/urls&gt;&lt;/record&gt;&lt;/Cite&gt;&lt;/EndNote&gt;</w:instrText>
            </w:r>
            <w:r w:rsidRPr="00284062">
              <w:fldChar w:fldCharType="separate"/>
            </w:r>
            <w:r w:rsidRPr="00284062">
              <w:rPr>
                <w:noProof/>
              </w:rPr>
              <w:t>(FREARSON, 2012)</w:t>
            </w:r>
            <w:r w:rsidRPr="00284062">
              <w:fldChar w:fldCharType="end"/>
            </w:r>
            <w:r w:rsidRPr="00284062">
              <w:t>.</w:t>
            </w:r>
          </w:p>
        </w:tc>
      </w:tr>
    </w:tbl>
    <w:p w14:paraId="1F35E0E0" w14:textId="2E9521FC" w:rsidR="00205AEE" w:rsidRPr="00284062" w:rsidRDefault="00FA67BA" w:rsidP="0063519C">
      <w:pPr>
        <w:jc w:val="both"/>
      </w:pPr>
      <w:r w:rsidRPr="00284062">
        <w:t>O interior do memorial</w:t>
      </w:r>
      <w:r w:rsidR="009C2EBA" w:rsidRPr="00284062">
        <w:t xml:space="preserve"> (</w:t>
      </w:r>
      <w:r w:rsidR="009C2EBA" w:rsidRPr="00284062">
        <w:fldChar w:fldCharType="begin"/>
      </w:r>
      <w:r w:rsidR="009C2EBA" w:rsidRPr="00284062">
        <w:instrText xml:space="preserve"> REF _Ref282438756 \h </w:instrText>
      </w:r>
      <w:r w:rsidR="009C2EBA" w:rsidRPr="00284062">
        <w:fldChar w:fldCharType="separate"/>
      </w:r>
      <w:r w:rsidR="000C1116" w:rsidRPr="000C1116">
        <w:t xml:space="preserve">Figura </w:t>
      </w:r>
      <w:r w:rsidR="000C1116">
        <w:rPr>
          <w:noProof/>
        </w:rPr>
        <w:t>3</w:t>
      </w:r>
      <w:r w:rsidR="009C2EBA" w:rsidRPr="00284062">
        <w:fldChar w:fldCharType="end"/>
      </w:r>
      <w:r w:rsidR="009C2EBA" w:rsidRPr="00284062">
        <w:t>)</w:t>
      </w:r>
      <w:r w:rsidRPr="00284062">
        <w:t xml:space="preserve"> </w:t>
      </w:r>
      <w:r w:rsidR="00205AEE" w:rsidRPr="00284062">
        <w:t xml:space="preserve">consiste em um corredor </w:t>
      </w:r>
      <w:r w:rsidRPr="00284062">
        <w:t>de superfícies marrons, com</w:t>
      </w:r>
      <w:r w:rsidR="00224CD8" w:rsidRPr="00284062">
        <w:t xml:space="preserve"> </w:t>
      </w:r>
      <w:r w:rsidR="00205AEE" w:rsidRPr="00284062">
        <w:t>120x5m</w:t>
      </w:r>
      <w:r w:rsidRPr="00284062">
        <w:t xml:space="preserve">, </w:t>
      </w:r>
      <w:r w:rsidR="00205AEE" w:rsidRPr="00284062">
        <w:t xml:space="preserve">finalizado em uma prega no tecido que o faz ser visto como um ponto de fuga. O piso, fixo sobre a estrutura externa de madeira, não se conecta à lona do casulo, </w:t>
      </w:r>
      <w:r w:rsidR="008A1B11" w:rsidRPr="00284062">
        <w:t xml:space="preserve">fazendo-a </w:t>
      </w:r>
      <w:r w:rsidR="00205AEE" w:rsidRPr="00284062">
        <w:t>treme</w:t>
      </w:r>
      <w:r w:rsidR="008A1B11" w:rsidRPr="00284062">
        <w:t>r</w:t>
      </w:r>
      <w:r w:rsidR="00205AEE" w:rsidRPr="00284062">
        <w:t xml:space="preserve"> fortemente com as rajadas de vento. </w:t>
      </w:r>
      <w:r w:rsidR="008A1B11" w:rsidRPr="00284062">
        <w:t>No corredor interior, cada</w:t>
      </w:r>
      <w:r w:rsidR="00205AEE" w:rsidRPr="00284062">
        <w:t xml:space="preserve"> </w:t>
      </w:r>
      <w:r w:rsidR="008E5438" w:rsidRPr="00284062">
        <w:t>vítima</w:t>
      </w:r>
      <w:r w:rsidR="00205AEE" w:rsidRPr="00284062">
        <w:t xml:space="preserve"> é homenageada por um conjunto de elementos simbólicos: </w:t>
      </w:r>
      <w:r w:rsidR="005B2B4A" w:rsidRPr="00284062">
        <w:t xml:space="preserve">uma pequena janela de vidro, que leva a fragmentos da paisagem ao redor, </w:t>
      </w:r>
      <w:r w:rsidR="00205AEE" w:rsidRPr="00284062">
        <w:t>uma lâmpada acesa</w:t>
      </w:r>
      <w:r w:rsidR="005B2B4A" w:rsidRPr="00284062">
        <w:t xml:space="preserve"> e</w:t>
      </w:r>
      <w:r w:rsidR="00205AEE" w:rsidRPr="00284062">
        <w:t xml:space="preserve"> </w:t>
      </w:r>
      <w:r w:rsidR="00D32328" w:rsidRPr="00284062">
        <w:t>um</w:t>
      </w:r>
      <w:r w:rsidR="00205AEE" w:rsidRPr="00284062">
        <w:t xml:space="preserve">a </w:t>
      </w:r>
      <w:r w:rsidR="00D32328" w:rsidRPr="00284062">
        <w:t>placa</w:t>
      </w:r>
      <w:r w:rsidR="005B2B4A" w:rsidRPr="00284062">
        <w:t>,</w:t>
      </w:r>
      <w:r w:rsidR="00D32328" w:rsidRPr="00284062">
        <w:t xml:space="preserve"> com a </w:t>
      </w:r>
      <w:r w:rsidR="00205AEE" w:rsidRPr="00284062">
        <w:t>reprodução de um trecho d</w:t>
      </w:r>
      <w:r w:rsidR="008E5438" w:rsidRPr="00284062">
        <w:t>e sua</w:t>
      </w:r>
      <w:bookmarkStart w:id="6" w:name="_Toc273625293"/>
      <w:r w:rsidR="005B2B4A" w:rsidRPr="00284062">
        <w:t xml:space="preserve"> condenação</w:t>
      </w:r>
      <w:r w:rsidR="008E5438" w:rsidRPr="00284062">
        <w:t>.</w:t>
      </w:r>
    </w:p>
    <w:tbl>
      <w:tblPr>
        <w:tblStyle w:val="Tabelacomgrade"/>
        <w:tblW w:w="4809" w:type="pct"/>
        <w:tblInd w:w="1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03"/>
      </w:tblGrid>
      <w:tr w:rsidR="003F6385" w:rsidRPr="00284062" w14:paraId="370D9258" w14:textId="77777777" w:rsidTr="009C0CC8">
        <w:tc>
          <w:tcPr>
            <w:tcW w:w="5000" w:type="pct"/>
          </w:tcPr>
          <w:p w14:paraId="61348635" w14:textId="77777777" w:rsidR="003F6385" w:rsidRPr="000C1116" w:rsidRDefault="003F6385" w:rsidP="003F6385">
            <w:pPr>
              <w:pStyle w:val="Legenda"/>
              <w:rPr>
                <w:lang w:val="pt-BR"/>
              </w:rPr>
            </w:pPr>
            <w:bookmarkStart w:id="7" w:name="_Ref282438756"/>
            <w:bookmarkStart w:id="8" w:name="_Toc282268394"/>
            <w:r w:rsidRPr="000C1116">
              <w:rPr>
                <w:lang w:val="pt-BR"/>
              </w:rPr>
              <w:t xml:space="preserve">Figura </w:t>
            </w:r>
            <w:r w:rsidRPr="00284062">
              <w:fldChar w:fldCharType="begin"/>
            </w:r>
            <w:r w:rsidRPr="000C1116">
              <w:rPr>
                <w:lang w:val="pt-BR"/>
              </w:rPr>
              <w:instrText xml:space="preserve"> SEQ Figura \* ARABIC </w:instrText>
            </w:r>
            <w:r w:rsidRPr="00284062">
              <w:fldChar w:fldCharType="separate"/>
            </w:r>
            <w:r w:rsidR="000C1116">
              <w:rPr>
                <w:noProof/>
                <w:lang w:val="pt-BR"/>
              </w:rPr>
              <w:t>3</w:t>
            </w:r>
            <w:r w:rsidRPr="00284062">
              <w:fldChar w:fldCharType="end"/>
            </w:r>
            <w:bookmarkEnd w:id="7"/>
            <w:r w:rsidRPr="000C1116">
              <w:rPr>
                <w:lang w:val="pt-BR"/>
              </w:rPr>
              <w:t>: Interior do Memorial Steilneset.</w:t>
            </w:r>
            <w:bookmarkEnd w:id="8"/>
          </w:p>
        </w:tc>
      </w:tr>
      <w:tr w:rsidR="003F6385" w:rsidRPr="00284062" w14:paraId="7D68BDDE" w14:textId="77777777" w:rsidTr="009C0CC8">
        <w:tc>
          <w:tcPr>
            <w:tcW w:w="5000" w:type="pct"/>
          </w:tcPr>
          <w:p w14:paraId="6EDFA4EF" w14:textId="77777777" w:rsidR="003F6385" w:rsidRPr="00284062" w:rsidRDefault="003F6385" w:rsidP="003F6385">
            <w:pPr>
              <w:pStyle w:val="Legenda"/>
              <w:rPr>
                <w:rFonts w:cs="Times New Roman"/>
              </w:rPr>
            </w:pPr>
            <w:r w:rsidRPr="00284062">
              <w:rPr>
                <w:noProof/>
                <w:lang w:val="pt-BR" w:eastAsia="pt-BR"/>
              </w:rPr>
              <w:drawing>
                <wp:inline distT="0" distB="0" distL="0" distR="0" wp14:anchorId="6EB3A390" wp14:editId="308875BC">
                  <wp:extent cx="2520000" cy="2520000"/>
                  <wp:effectExtent l="0" t="0" r="0" b="0"/>
                  <wp:docPr id="53" name="Imagem 10" descr="Steilneset Memorial by Peter Zumthor and Louise Bourgeo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Steilneset Memorial by Peter Zumthor and Louise Bourgeo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25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B413CF" w14:textId="3A5561C8" w:rsidR="00C97044" w:rsidRPr="00284062" w:rsidRDefault="00C97044" w:rsidP="008B661E">
            <w:pPr>
              <w:pStyle w:val="Legenda"/>
            </w:pPr>
            <w:r w:rsidRPr="00284062">
              <w:t xml:space="preserve">Fonte: </w:t>
            </w:r>
            <w:r w:rsidRPr="00284062">
              <w:fldChar w:fldCharType="begin"/>
            </w:r>
            <w:r w:rsidR="008B661E" w:rsidRPr="00284062">
              <w:instrText xml:space="preserve"> ADDIN EN.CITE &lt;EndNote&gt;&lt;Cite&gt;&lt;Author&gt;FREARSON&lt;/Author&gt;&lt;Year&gt;2012&lt;/Year&gt;&lt;RecNum&gt;94&lt;/RecNum&gt;&lt;DisplayText&gt;(FREARSON, 2012)&lt;/DisplayText&gt;&lt;record&gt;&lt;rec-number&gt;94&lt;/rec-number&gt;&lt;foreign-keys&gt;&lt;key app="EN" db-id="92zadxt0i5vawfe59sg5dps15zzfrf5r9a2e" timestamp="1412042361"&gt;94&lt;/key&gt;&lt;/foreign-keys&gt;&lt;ref-type name="Electronic Article"&gt;43&lt;/ref-type&gt;&lt;contributors&gt;&lt;authors&gt;&lt;author&gt;FREARSON, Amy&lt;/author&gt;&lt;/authors&gt;&lt;/contributors&gt;&lt;titles&gt;&lt;title&gt;Steilneset Memorial by Peter Zumthor and Louise Bourgeouis&lt;/title&gt;&lt;secondary-title&gt;DEEZEN Magazine&lt;/secondary-title&gt;&lt;tertiary-title&gt;DEEZEN Magazine&lt;/tertiary-title&gt;&lt;/titles&gt;&lt;periodical&gt;&lt;full-title&gt;DEEZEN Magazine&lt;/full-title&gt;&lt;/periodical&gt;&lt;dates&gt;&lt;year&gt;2012&lt;/year&gt;&lt;pub-dates&gt;&lt;date&gt;10.07.2014&lt;/date&gt;&lt;/pub-dates&gt;&lt;/dates&gt;&lt;urls&gt;&lt;related-urls&gt;&lt;url&gt;http://www.dezeen.com/2012/01/03/steilneset-memorial-by-peter-zumthor-and-louise-bourgeois/&lt;/url&gt;&lt;/related-urls&gt;&lt;/urls&gt;&lt;/record&gt;&lt;/Cite&gt;&lt;/EndNote&gt;</w:instrText>
            </w:r>
            <w:r w:rsidRPr="00284062">
              <w:fldChar w:fldCharType="separate"/>
            </w:r>
            <w:r w:rsidRPr="00284062">
              <w:rPr>
                <w:noProof/>
              </w:rPr>
              <w:t>(FREARSON, 2012)</w:t>
            </w:r>
            <w:r w:rsidRPr="00284062">
              <w:fldChar w:fldCharType="end"/>
            </w:r>
            <w:r w:rsidRPr="00284062">
              <w:t>.</w:t>
            </w:r>
          </w:p>
        </w:tc>
      </w:tr>
    </w:tbl>
    <w:bookmarkEnd w:id="6"/>
    <w:p w14:paraId="2D9848DC" w14:textId="5BC7886D" w:rsidR="00901D35" w:rsidRPr="00284062" w:rsidRDefault="00901D35" w:rsidP="0063519C">
      <w:pPr>
        <w:jc w:val="both"/>
      </w:pPr>
      <w:r w:rsidRPr="00284062">
        <w:lastRenderedPageBreak/>
        <w:t>E</w:t>
      </w:r>
      <w:r w:rsidR="00D3474F" w:rsidRPr="00284062">
        <w:t xml:space="preserve">m função dos elementos dispostos em sua arquitetura, </w:t>
      </w:r>
      <w:r w:rsidRPr="00284062">
        <w:t xml:space="preserve">a visitação do memorial </w:t>
      </w:r>
      <w:r w:rsidR="00D3474F" w:rsidRPr="00284062">
        <w:t xml:space="preserve">acaba por converter-se em uma experiência de imersão no contexto </w:t>
      </w:r>
      <w:r w:rsidRPr="00284062">
        <w:t>da Inquisição</w:t>
      </w:r>
      <w:r w:rsidR="002E04E1" w:rsidRPr="00284062">
        <w:t>, o que alinha o projeto</w:t>
      </w:r>
      <w:r w:rsidRPr="00284062">
        <w:t xml:space="preserve"> </w:t>
      </w:r>
      <w:r w:rsidR="00D3474F" w:rsidRPr="00284062">
        <w:t>à ideia de Norbergh-Schulz</w:t>
      </w:r>
      <w:r w:rsidRPr="00284062">
        <w:t xml:space="preserve"> </w:t>
      </w:r>
      <w:r w:rsidRPr="00284062">
        <w:fldChar w:fldCharType="begin"/>
      </w:r>
      <w:r w:rsidRPr="00284062">
        <w:instrText xml:space="preserve"> ADDIN EN.CITE &lt;EndNote&gt;&lt;Cite&gt;&lt;Author&gt;NESBITT&lt;/Author&gt;&lt;Year&gt;2008&lt;/Year&gt;&lt;RecNum&gt;65&lt;/RecNum&gt;&lt;Prefix&gt;apud &lt;/Prefix&gt;&lt;DisplayText&gt;(apud NESBITT, 2008)&lt;/DisplayText&gt;&lt;record&gt;&lt;rec-number&gt;65&lt;/rec-number&gt;&lt;foreign-keys&gt;&lt;key app="EN" db-id="92zadxt0i5vawfe59sg5dps15zzfrf5r9a2e" timestamp="1411844885"&gt;65&lt;/key&gt;&lt;/foreign-keys&gt;&lt;ref-type name="Book"&gt;6&lt;/ref-type&gt;&lt;contributors&gt;&lt;authors&gt;&lt;author&gt;NESBITT, Kate&lt;/author&gt;&lt;/authors&gt;&lt;/contributors&gt;&lt;titles&gt;&lt;title&gt;Uma nova agenda para a arquitetura: Antologia Teórica 1965-1995&lt;/title&gt;&lt;/titles&gt;&lt;edition&gt;2&lt;/edition&gt;&lt;section&gt;661&lt;/section&gt;&lt;dates&gt;&lt;year&gt;2008&lt;/year&gt;&lt;/dates&gt;&lt;pub-location&gt;São Paulo&lt;/pub-location&gt;&lt;publisher&gt;Cosac Naify&lt;/publisher&gt;&lt;isbn&gt;8575035053, 9788575035054&lt;/isbn&gt;&lt;urls&gt;&lt;/urls&gt;&lt;/record&gt;&lt;/Cite&gt;&lt;/EndNote&gt;</w:instrText>
      </w:r>
      <w:r w:rsidRPr="00284062">
        <w:fldChar w:fldCharType="separate"/>
      </w:r>
      <w:r w:rsidRPr="00284062">
        <w:rPr>
          <w:noProof/>
        </w:rPr>
        <w:t>(apud NESBITT, 2008)</w:t>
      </w:r>
      <w:r w:rsidRPr="00284062">
        <w:fldChar w:fldCharType="end"/>
      </w:r>
      <w:r w:rsidR="00D3474F" w:rsidRPr="00284062">
        <w:t>, de que</w:t>
      </w:r>
      <w:r w:rsidR="00167CD1" w:rsidRPr="00284062">
        <w:t xml:space="preserve"> o potencial fenomenológico da arquitetura está na "capacidade de dar significado ao ambiente mediante a criação de lugares específicos"</w:t>
      </w:r>
      <w:r w:rsidR="00D3474F" w:rsidRPr="00284062">
        <w:t>.</w:t>
      </w:r>
      <w:r w:rsidR="002E04E1" w:rsidRPr="00284062">
        <w:t xml:space="preserve"> No tocante ao</w:t>
      </w:r>
      <w:r w:rsidR="006D40A7" w:rsidRPr="00284062">
        <w:t xml:space="preserve"> Memorial Steilneset, d</w:t>
      </w:r>
      <w:r w:rsidRPr="00284062">
        <w:t xml:space="preserve">entre os aspectos que podem ser destacados com este fim, destacam-se </w:t>
      </w:r>
      <w:r w:rsidR="006D40A7" w:rsidRPr="00284062">
        <w:t xml:space="preserve">aqui </w:t>
      </w:r>
      <w:r w:rsidR="006B30CB" w:rsidRPr="00284062">
        <w:t>três</w:t>
      </w:r>
      <w:r w:rsidRPr="00284062">
        <w:t xml:space="preserve"> deles, discutindo-se sobre sua </w:t>
      </w:r>
      <w:r w:rsidR="006D40A7" w:rsidRPr="00284062">
        <w:t>relevância e contribuição à construção do significado desta obra.</w:t>
      </w:r>
    </w:p>
    <w:p w14:paraId="741B7E0E" w14:textId="41CE35BD" w:rsidR="00323B38" w:rsidRPr="00284062" w:rsidRDefault="00C00033" w:rsidP="0063519C">
      <w:pPr>
        <w:jc w:val="both"/>
      </w:pPr>
      <w:r w:rsidRPr="00284062">
        <w:t xml:space="preserve">Um primeiro atributo está na </w:t>
      </w:r>
      <w:r w:rsidR="00901D35" w:rsidRPr="00284062">
        <w:rPr>
          <w:i/>
        </w:rPr>
        <w:t xml:space="preserve">discussão de conceitos relacionados à temática </w:t>
      </w:r>
      <w:r w:rsidRPr="00284062">
        <w:rPr>
          <w:i/>
        </w:rPr>
        <w:t>da Inquisição</w:t>
      </w:r>
      <w:r w:rsidR="00901D35" w:rsidRPr="00284062">
        <w:rPr>
          <w:i/>
        </w:rPr>
        <w:t xml:space="preserve"> através dos elem</w:t>
      </w:r>
      <w:r w:rsidR="006D40A7" w:rsidRPr="00284062">
        <w:rPr>
          <w:i/>
        </w:rPr>
        <w:t>entos arquitetônicos do espaço</w:t>
      </w:r>
      <w:r w:rsidRPr="00284062">
        <w:t xml:space="preserve">. </w:t>
      </w:r>
      <w:r w:rsidR="00111B3A" w:rsidRPr="00284062">
        <w:t xml:space="preserve">A observação da obra permite </w:t>
      </w:r>
      <w:r w:rsidRPr="00284062">
        <w:t xml:space="preserve">afirmar que </w:t>
      </w:r>
      <w:r w:rsidR="00111B3A" w:rsidRPr="00284062">
        <w:t xml:space="preserve">o memorial </w:t>
      </w:r>
      <w:r w:rsidR="00323B38" w:rsidRPr="00284062">
        <w:t>propõe</w:t>
      </w:r>
      <w:r w:rsidR="00111B3A" w:rsidRPr="00284062">
        <w:t xml:space="preserve"> </w:t>
      </w:r>
      <w:r w:rsidRPr="00284062">
        <w:t>uma experienciação dos momentos de terror vividos pelas vítimas homenageadas em sua trajetória à fogueir</w:t>
      </w:r>
      <w:r w:rsidR="00323B38" w:rsidRPr="00284062">
        <w:t xml:space="preserve">a. </w:t>
      </w:r>
      <w:r w:rsidR="00D32328" w:rsidRPr="00284062">
        <w:t>Nesse sentido, a</w:t>
      </w:r>
      <w:r w:rsidR="00323B38" w:rsidRPr="00284062">
        <w:t xml:space="preserve"> atmosfera do lugar é densa e</w:t>
      </w:r>
      <w:r w:rsidRPr="00284062">
        <w:t xml:space="preserve"> opressora, impondo insegurança e tensão ao visitante</w:t>
      </w:r>
      <w:r w:rsidR="00D32328" w:rsidRPr="00284062">
        <w:t>.</w:t>
      </w:r>
    </w:p>
    <w:p w14:paraId="79207338" w14:textId="5C573432" w:rsidR="00323B38" w:rsidRPr="00284062" w:rsidRDefault="006B30CB" w:rsidP="00D32328">
      <w:pPr>
        <w:jc w:val="both"/>
      </w:pPr>
      <w:r w:rsidRPr="00284062">
        <w:t>O</w:t>
      </w:r>
      <w:r w:rsidR="00323B38" w:rsidRPr="00284062">
        <w:t xml:space="preserve"> conjunto de elementos simbólicos</w:t>
      </w:r>
      <w:r w:rsidRPr="00284062">
        <w:t>, entre outros</w:t>
      </w:r>
      <w:r w:rsidR="00323B38" w:rsidRPr="00284062">
        <w:t xml:space="preserve">, </w:t>
      </w:r>
      <w:r w:rsidRPr="00284062">
        <w:t xml:space="preserve">pode </w:t>
      </w:r>
      <w:r w:rsidR="00323B38" w:rsidRPr="00284062">
        <w:t>ilustra</w:t>
      </w:r>
      <w:r w:rsidRPr="00284062">
        <w:t>r</w:t>
      </w:r>
      <w:r w:rsidR="00323B38" w:rsidRPr="00284062">
        <w:t xml:space="preserve"> a aplicação deste princí</w:t>
      </w:r>
      <w:r w:rsidR="007E62E4" w:rsidRPr="00284062">
        <w:t>pio</w:t>
      </w:r>
      <w:r w:rsidR="00AB4083" w:rsidRPr="00284062">
        <w:t>.</w:t>
      </w:r>
      <w:r w:rsidR="00323B38" w:rsidRPr="00284062">
        <w:t xml:space="preserve"> </w:t>
      </w:r>
      <w:r w:rsidR="00AB4083" w:rsidRPr="00284062">
        <w:t>A</w:t>
      </w:r>
      <w:r w:rsidR="00323B38" w:rsidRPr="00284062">
        <w:t xml:space="preserve">s </w:t>
      </w:r>
      <w:r w:rsidR="007E62E4" w:rsidRPr="00284062">
        <w:t xml:space="preserve">pequenas </w:t>
      </w:r>
      <w:r w:rsidR="00323B38" w:rsidRPr="00284062">
        <w:t>janelas</w:t>
      </w:r>
      <w:r w:rsidR="007E62E4" w:rsidRPr="00284062">
        <w:t>, dispostas a altu</w:t>
      </w:r>
      <w:r w:rsidR="00F1606D" w:rsidRPr="00284062">
        <w:t>ras distintas,</w:t>
      </w:r>
      <w:r w:rsidR="00323B38" w:rsidRPr="00284062">
        <w:t xml:space="preserve"> proporcionam vistas pontuais e restritas da paisagem </w:t>
      </w:r>
      <w:r w:rsidR="00323B38" w:rsidRPr="00284062">
        <w:rPr>
          <w:rFonts w:eastAsia="MS Gothic"/>
          <w:color w:val="000000"/>
        </w:rPr>
        <w:t>−</w:t>
      </w:r>
      <w:r w:rsidR="00323B38" w:rsidRPr="00284062">
        <w:t xml:space="preserve"> por vezes mai</w:t>
      </w:r>
      <w:r w:rsidRPr="00284062">
        <w:t>s acessíveis, por outras, menos</w:t>
      </w:r>
      <w:r w:rsidR="00323B38" w:rsidRPr="00284062">
        <w:t>.</w:t>
      </w:r>
      <w:r w:rsidR="00F1606D" w:rsidRPr="00284062">
        <w:t xml:space="preserve"> Além disso,</w:t>
      </w:r>
      <w:r w:rsidR="008158B3" w:rsidRPr="00284062">
        <w:t xml:space="preserve"> as aberturas podem ser interpretadas como os olhares inquisitores que, no trajeto à condenação, apenas observavam a passagem dos condenados.</w:t>
      </w:r>
      <w:r w:rsidR="00323B38" w:rsidRPr="00284062">
        <w:t xml:space="preserve"> As lâmpadas, incandescentes, promovem um brilho amarelado sobre as superfícies metálicas verticais</w:t>
      </w:r>
      <w:r w:rsidR="00AF1F63" w:rsidRPr="00284062">
        <w:t xml:space="preserve"> que lembra pequenas tochas de fogo</w:t>
      </w:r>
      <w:r w:rsidR="00323B38" w:rsidRPr="00284062">
        <w:t>, além de remeterem ao costume local para anunciar a presença de um morador</w:t>
      </w:r>
      <w:r w:rsidR="007708B0" w:rsidRPr="00284062">
        <w:rPr>
          <w:vertAlign w:val="superscript"/>
        </w:rPr>
        <w:t>3</w:t>
      </w:r>
      <w:r w:rsidR="00763CBE" w:rsidRPr="00284062">
        <w:t>.</w:t>
      </w:r>
      <w:r w:rsidR="00323B38" w:rsidRPr="00284062">
        <w:t xml:space="preserve"> As placas, por sua vez,</w:t>
      </w:r>
      <w:r w:rsidR="00323B38" w:rsidRPr="00284062">
        <w:rPr>
          <w:rFonts w:eastAsia="MS Gothic"/>
          <w:color w:val="000000"/>
        </w:rPr>
        <w:t xml:space="preserve"> sempre fixadas à mesma altura,</w:t>
      </w:r>
      <w:r w:rsidR="00323B38" w:rsidRPr="00284062">
        <w:t xml:space="preserve"> consistem em </w:t>
      </w:r>
      <w:r w:rsidR="00323B38" w:rsidRPr="00284062">
        <w:rPr>
          <w:rFonts w:eastAsia="MS Gothic"/>
          <w:color w:val="000000"/>
        </w:rPr>
        <w:t xml:space="preserve">recortes de seda preta, sustentados por hastes metálicas delicadas e </w:t>
      </w:r>
      <w:r w:rsidR="00323B38" w:rsidRPr="00284062">
        <w:t xml:space="preserve">dissimuladas </w:t>
      </w:r>
      <w:r w:rsidR="00D32328" w:rsidRPr="00284062">
        <w:t>sob</w:t>
      </w:r>
      <w:r w:rsidR="00323B38" w:rsidRPr="00284062">
        <w:t xml:space="preserve"> o tom marrom das paredes.</w:t>
      </w:r>
    </w:p>
    <w:p w14:paraId="6CF13390" w14:textId="0A2ABCBE" w:rsidR="00323B38" w:rsidRPr="00284062" w:rsidRDefault="00323B38" w:rsidP="00D32328">
      <w:pPr>
        <w:jc w:val="both"/>
      </w:pPr>
      <w:r w:rsidRPr="00284062">
        <w:t>O ritmo dos elementos nas paredes, o tom saturado das superfícies, a luz</w:t>
      </w:r>
      <w:r w:rsidR="00D32328" w:rsidRPr="00284062">
        <w:t xml:space="preserve"> amarelada</w:t>
      </w:r>
      <w:r w:rsidR="00FE57EC" w:rsidRPr="00284062">
        <w:t xml:space="preserve"> e sutil</w:t>
      </w:r>
      <w:r w:rsidRPr="00284062">
        <w:t xml:space="preserve">, a realidade dramática dos textos apresentados e </w:t>
      </w:r>
      <w:r w:rsidR="00D32328" w:rsidRPr="00284062">
        <w:t xml:space="preserve">até a ilusão de ótica trabalhada entre </w:t>
      </w:r>
      <w:r w:rsidR="00FE57EC" w:rsidRPr="00284062">
        <w:t>as réguas</w:t>
      </w:r>
      <w:r w:rsidRPr="00284062">
        <w:t xml:space="preserve"> do assoalho </w:t>
      </w:r>
      <w:r w:rsidR="00D32328" w:rsidRPr="00284062">
        <w:t xml:space="preserve">e a finalização do corredor em um ponto que parece infinito </w:t>
      </w:r>
      <w:r w:rsidRPr="00284062">
        <w:t>tornam o trajeto desconfortável e angustiante</w:t>
      </w:r>
      <w:r w:rsidR="00D32328" w:rsidRPr="00284062">
        <w:t xml:space="preserve">. </w:t>
      </w:r>
      <w:r w:rsidRPr="00284062">
        <w:t xml:space="preserve">Trata-se quase de uma composição teatral, em que o cenário </w:t>
      </w:r>
      <w:r w:rsidRPr="00284062">
        <w:lastRenderedPageBreak/>
        <w:t>tem, em cada elemento</w:t>
      </w:r>
      <w:r w:rsidR="00666387" w:rsidRPr="00284062">
        <w:t xml:space="preserve"> da arquitetura e do espaço interno</w:t>
      </w:r>
      <w:r w:rsidRPr="00284062">
        <w:t xml:space="preserve">, uma participação verdadeiramente específica para a conjuntura resultante, tornando a visitação ao lugar quase em um ritual. </w:t>
      </w:r>
    </w:p>
    <w:p w14:paraId="1ABFAB78" w14:textId="20EFD36E" w:rsidR="003753DD" w:rsidRPr="00284062" w:rsidRDefault="00976055" w:rsidP="003753DD">
      <w:pPr>
        <w:jc w:val="both"/>
      </w:pPr>
      <w:r w:rsidRPr="00284062">
        <w:t>A</w:t>
      </w:r>
      <w:r w:rsidR="005B2B4A" w:rsidRPr="00284062">
        <w:rPr>
          <w:i/>
        </w:rPr>
        <w:t xml:space="preserve"> construção de  vínculos com o lugar através da arquitetura</w:t>
      </w:r>
      <w:r w:rsidRPr="00284062">
        <w:t xml:space="preserve"> é, também, um atributo que contribui para a percepção do Memorial como um lugar único</w:t>
      </w:r>
      <w:r w:rsidR="008B661E" w:rsidRPr="00284062">
        <w:t xml:space="preserve"> </w:t>
      </w:r>
      <w:r w:rsidR="008B661E" w:rsidRPr="00284062">
        <w:fldChar w:fldCharType="begin"/>
      </w:r>
      <w:r w:rsidR="008B661E" w:rsidRPr="00284062">
        <w:instrText xml:space="preserve"> ADDIN EN.CITE &lt;EndNote&gt;&lt;Cite&gt;&lt;Author&gt;NORBERG-SCHULZ&lt;/Author&gt;&lt;Year&gt;1988&lt;/Year&gt;&lt;RecNum&gt;139&lt;/RecNum&gt;&lt;DisplayText&gt;(NORBERG-SCHULZ, 1988)&lt;/DisplayText&gt;&lt;record&gt;&lt;rec-number&gt;139&lt;/rec-number&gt;&lt;foreign-keys&gt;&lt;key app="EN" db-id="92zadxt0i5vawfe59sg5dps15zzfrf5r9a2e" timestamp="1422621754"&gt;139&lt;/key&gt;&lt;/foreign-keys&gt;&lt;ref-type name="Book"&gt;6&lt;/ref-type&gt;&lt;contributors&gt;&lt;authors&gt;&lt;author&gt;NORBERG-SCHULZ, Christian&lt;/author&gt;&lt;/authors&gt;&lt;/contributors&gt;&lt;titles&gt;&lt;title&gt;Architecture: Meaning and Place&lt;/title&gt;&lt;/titles&gt;&lt;pages&gt;254&lt;/pages&gt;&lt;edition&gt;01&lt;/edition&gt;&lt;dates&gt;&lt;year&gt;1988&lt;/year&gt;&lt;/dates&gt;&lt;pub-location&gt;Nova Iorque&lt;/pub-location&gt;&lt;publisher&gt;Rizzoli&lt;/publisher&gt;&lt;urls&gt;&lt;/urls&gt;&lt;/record&gt;&lt;/Cite&gt;&lt;/EndNote&gt;</w:instrText>
      </w:r>
      <w:r w:rsidR="008B661E" w:rsidRPr="00284062">
        <w:fldChar w:fldCharType="separate"/>
      </w:r>
      <w:r w:rsidR="008B661E" w:rsidRPr="00284062">
        <w:rPr>
          <w:noProof/>
        </w:rPr>
        <w:t>(NORBERG-SCHULZ, 1988)</w:t>
      </w:r>
      <w:r w:rsidR="008B661E" w:rsidRPr="00284062">
        <w:fldChar w:fldCharType="end"/>
      </w:r>
      <w:r w:rsidRPr="00284062">
        <w:t xml:space="preserve">. </w:t>
      </w:r>
    </w:p>
    <w:p w14:paraId="34B0AE6E" w14:textId="00A60601" w:rsidR="00323B38" w:rsidRPr="00284062" w:rsidRDefault="00976055" w:rsidP="00D32328">
      <w:pPr>
        <w:jc w:val="both"/>
      </w:pPr>
      <w:r w:rsidRPr="00284062">
        <w:t xml:space="preserve">Além da já mencionada representação do costume local relacionado às lâmpadas, identifica-se, </w:t>
      </w:r>
      <w:r w:rsidR="006C1D16" w:rsidRPr="00284062">
        <w:t>ainda</w:t>
      </w:r>
      <w:r w:rsidRPr="00284062">
        <w:t>, na estrutura de madeira que sustenta o edifício linear, uma releitura da forma do cavalete usado pelos pescadores nativos para secar o bacalhau</w:t>
      </w:r>
      <w:r w:rsidR="009C2EBA" w:rsidRPr="00284062">
        <w:t xml:space="preserve"> (</w:t>
      </w:r>
      <w:r w:rsidR="009C2EBA" w:rsidRPr="00284062">
        <w:fldChar w:fldCharType="begin"/>
      </w:r>
      <w:r w:rsidR="009C2EBA" w:rsidRPr="00284062">
        <w:instrText xml:space="preserve"> REF _Ref283281635 \h </w:instrText>
      </w:r>
      <w:r w:rsidR="009C2EBA" w:rsidRPr="00284062">
        <w:fldChar w:fldCharType="separate"/>
      </w:r>
      <w:r w:rsidR="000C1116" w:rsidRPr="00284062">
        <w:t xml:space="preserve">Figura </w:t>
      </w:r>
      <w:r w:rsidR="000C1116">
        <w:rPr>
          <w:noProof/>
        </w:rPr>
        <w:t>4</w:t>
      </w:r>
      <w:r w:rsidR="009C2EBA" w:rsidRPr="00284062">
        <w:fldChar w:fldCharType="end"/>
      </w:r>
      <w:r w:rsidR="009C2EBA" w:rsidRPr="00284062">
        <w:t>)</w:t>
      </w:r>
      <w:r w:rsidR="003E52D4" w:rsidRPr="00284062">
        <w:t>.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6"/>
      </w:tblGrid>
      <w:tr w:rsidR="009C2EBA" w:rsidRPr="00284062" w14:paraId="0809D534" w14:textId="77777777" w:rsidTr="003E52D4">
        <w:tc>
          <w:tcPr>
            <w:tcW w:w="5306" w:type="dxa"/>
            <w:vAlign w:val="center"/>
          </w:tcPr>
          <w:p w14:paraId="67E63374" w14:textId="28BD3A39" w:rsidR="009C2EBA" w:rsidRPr="000C1116" w:rsidRDefault="009C2EBA" w:rsidP="006C1D16">
            <w:pPr>
              <w:pStyle w:val="Legenda"/>
              <w:rPr>
                <w:lang w:val="pt-BR"/>
              </w:rPr>
            </w:pPr>
            <w:bookmarkStart w:id="9" w:name="_Ref283281635"/>
            <w:bookmarkStart w:id="10" w:name="_Toc282268391"/>
            <w:r w:rsidRPr="000C1116">
              <w:rPr>
                <w:lang w:val="pt-BR"/>
              </w:rPr>
              <w:t xml:space="preserve">Figura </w:t>
            </w:r>
            <w:r w:rsidRPr="00284062">
              <w:fldChar w:fldCharType="begin"/>
            </w:r>
            <w:r w:rsidRPr="000C1116">
              <w:rPr>
                <w:lang w:val="pt-BR"/>
              </w:rPr>
              <w:instrText xml:space="preserve"> SEQ Figura \* ARABIC </w:instrText>
            </w:r>
            <w:r w:rsidRPr="00284062">
              <w:fldChar w:fldCharType="separate"/>
            </w:r>
            <w:r w:rsidR="000C1116" w:rsidRPr="000C1116">
              <w:rPr>
                <w:noProof/>
                <w:lang w:val="pt-BR"/>
              </w:rPr>
              <w:t>4</w:t>
            </w:r>
            <w:r w:rsidRPr="00284062">
              <w:fldChar w:fldCharType="end"/>
            </w:r>
            <w:bookmarkEnd w:id="9"/>
            <w:r w:rsidRPr="000C1116">
              <w:rPr>
                <w:lang w:val="pt-BR"/>
              </w:rPr>
              <w:t>: Estrutura vernacular para secar bacalhau e, abaixo, o Memorial Steilneset.</w:t>
            </w:r>
            <w:bookmarkEnd w:id="10"/>
          </w:p>
          <w:p w14:paraId="0550CE5F" w14:textId="04032B85" w:rsidR="009C2EBA" w:rsidRPr="00284062" w:rsidRDefault="009C2EBA" w:rsidP="006C1D16">
            <w:pPr>
              <w:pStyle w:val="Legenda"/>
            </w:pPr>
            <w:r w:rsidRPr="00284062">
              <w:rPr>
                <w:noProof/>
                <w:lang w:val="pt-BR" w:eastAsia="pt-BR"/>
              </w:rPr>
              <w:drawing>
                <wp:inline distT="0" distB="0" distL="0" distR="0" wp14:anchorId="4A165AB4" wp14:editId="7477F878">
                  <wp:extent cx="2520000" cy="1679506"/>
                  <wp:effectExtent l="0" t="0" r="0" b="0"/>
                  <wp:docPr id="1073741832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16795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84062">
              <w:rPr>
                <w:noProof/>
                <w:bdr w:val="nil"/>
                <w:lang w:val="pt-BR" w:eastAsia="pt-BR"/>
              </w:rPr>
              <w:drawing>
                <wp:inline distT="0" distB="0" distL="0" distR="0" wp14:anchorId="33DDFA1B" wp14:editId="61C3BDCB">
                  <wp:extent cx="2520000" cy="1669366"/>
                  <wp:effectExtent l="0" t="0" r="0" b="7620"/>
                  <wp:docPr id="1073741837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16693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EBA" w:rsidRPr="00284062" w14:paraId="7745C152" w14:textId="77777777" w:rsidTr="003E52D4">
        <w:tc>
          <w:tcPr>
            <w:tcW w:w="5306" w:type="dxa"/>
            <w:vAlign w:val="center"/>
          </w:tcPr>
          <w:p w14:paraId="7C44D253" w14:textId="3A081FF7" w:rsidR="009C2EBA" w:rsidRPr="00284062" w:rsidRDefault="009C2EBA" w:rsidP="008B661E">
            <w:pPr>
              <w:pStyle w:val="Legenda"/>
              <w:rPr>
                <w:rFonts w:cs="Times New Roman"/>
              </w:rPr>
            </w:pPr>
            <w:r w:rsidRPr="00284062">
              <w:rPr>
                <w:rFonts w:cs="Times New Roman"/>
              </w:rPr>
              <w:t xml:space="preserve">Fonte: </w:t>
            </w:r>
            <w:r w:rsidRPr="00284062">
              <w:fldChar w:fldCharType="begin"/>
            </w:r>
            <w:r w:rsidR="008B661E" w:rsidRPr="00284062">
              <w:instrText xml:space="preserve"> ADDIN EN.CITE &lt;EndNote&gt;&lt;Cite&gt;&lt;Author&gt;ATKIN&lt;/Author&gt;&lt;Year&gt;2014&lt;/Year&gt;&lt;RecNum&gt;93&lt;/RecNum&gt;&lt;DisplayText&gt;(ATKIN e GUTHRIE, 2014)&lt;/DisplayText&gt;&lt;record&gt;&lt;rec-number&gt;93&lt;/rec-number&gt;&lt;foreign-keys&gt;&lt;key app="EN" db-id="92zadxt0i5vawfe59sg5dps15zzfrf5r9a2e" timestamp="1412042015"&gt;93&lt;/key&gt;&lt;/foreign-keys&gt;&lt;ref-type name="Electronic Article"&gt;43&lt;/ref-type&gt;&lt;contributors&gt;&lt;authors&gt;&lt;author&gt;ATKIN, Lindy;&lt;/author&gt;&lt;author&gt;GUTHRIE, Stephen&lt;/author&gt;&lt;/authors&gt;&lt;/contributors&gt;&lt;titles&gt;&lt;title&gt;Peter Zumthor’s Vardø memorial&lt;/title&gt;&lt;secondary-title&gt;ARCHITECTUREAU&lt;/secondary-title&gt;&lt;tertiary-title&gt;ARCHITECTUREAU&lt;/tertiary-title&gt;&lt;/titles&gt;&lt;periodical&gt;&lt;full-title&gt;ARCHITECTUREAU&lt;/full-title&gt;&lt;/periodical&gt;&lt;dates&gt;&lt;year&gt;2014&lt;/year&gt;&lt;pub-dates&gt;&lt;date&gt;01.08.2014&lt;/date&gt;&lt;/pub-dates&gt;&lt;/dates&gt;&lt;publisher&gt;Architecture Media Pty Ltd&lt;/publisher&gt;&lt;urls&gt;&lt;related-urls&gt;&lt;url&gt;http://architectureau.com/articles/witchcraft-memorial-vardo-norway/&lt;/url&gt;&lt;/related-urls&gt;&lt;/urls&gt;&lt;/record&gt;&lt;/Cite&gt;&lt;/EndNote&gt;</w:instrText>
            </w:r>
            <w:r w:rsidRPr="00284062">
              <w:fldChar w:fldCharType="separate"/>
            </w:r>
            <w:r w:rsidRPr="00284062">
              <w:rPr>
                <w:noProof/>
              </w:rPr>
              <w:t>(ATKIN e GUTHRIE, 2014)</w:t>
            </w:r>
            <w:r w:rsidRPr="00284062">
              <w:fldChar w:fldCharType="end"/>
            </w:r>
            <w:r w:rsidRPr="00284062">
              <w:t>.</w:t>
            </w:r>
          </w:p>
        </w:tc>
      </w:tr>
    </w:tbl>
    <w:p w14:paraId="7D16635D" w14:textId="5CA41987" w:rsidR="003E52D4" w:rsidRPr="00284062" w:rsidRDefault="00B74521" w:rsidP="00D32328">
      <w:pPr>
        <w:jc w:val="both"/>
      </w:pPr>
      <w:r w:rsidRPr="00284062">
        <w:t>Também nesse sentido, os ventos polares da região que, além do frio intenso</w:t>
      </w:r>
      <w:r w:rsidR="003753DD" w:rsidRPr="00284062">
        <w:t xml:space="preserve"> e desconfortável</w:t>
      </w:r>
      <w:r w:rsidRPr="00284062">
        <w:t xml:space="preserve">, promovem a vibração perturbadora da estrutura de lona do edifício, </w:t>
      </w:r>
      <w:r w:rsidR="009E32B2" w:rsidRPr="00284062">
        <w:t>exemplificam</w:t>
      </w:r>
      <w:r w:rsidR="003E52D4" w:rsidRPr="00284062">
        <w:t xml:space="preserve"> como o projeto é desenvolvido tendo em mente as particularidades que definem o sítio</w:t>
      </w:r>
      <w:r w:rsidR="007A35BA" w:rsidRPr="00284062">
        <w:t xml:space="preserve">. Segundo Zumthor </w:t>
      </w:r>
      <w:r w:rsidR="007A35BA" w:rsidRPr="00284062">
        <w:fldChar w:fldCharType="begin"/>
      </w:r>
      <w:r w:rsidR="00C50E10" w:rsidRPr="00284062">
        <w:instrText xml:space="preserve"> ADDIN EN.CITE &lt;EndNote&gt;&lt;Cite&gt;&lt;Author&gt;TURNER&lt;/Author&gt;&lt;Year&gt;2012&lt;/Year&gt;&lt;RecNum&gt;89&lt;/RecNum&gt;&lt;Prefix&gt;apud &lt;/Prefix&gt;&lt;Suffix&gt;. Tradução nossa.&lt;/Suffix&gt;&lt;DisplayText&gt;(apud TURNER, 2012. Tradução nossa.)&lt;/DisplayText&gt;&lt;record&gt;&lt;rec-number&gt;89&lt;/rec-number&gt;&lt;foreign-keys&gt;&lt;key app="EN" db-id="92zadxt0i5vawfe59sg5dps15zzfrf5r9a2e" timestamp="1412016730"&gt;89&lt;/key&gt;&lt;/foreign-keys&gt;&lt;ref-type name="Electronic Article"&gt;43&lt;/ref-type&gt;&lt;contributors&gt;&lt;authors&gt;&lt;author&gt;TURNER, Christopher&lt;/author&gt;&lt;/authors&gt;&lt;/contributors&gt;&lt;titles&gt;&lt;title&gt;Peter Zumthor&amp;apos;s Vardo Memorial&lt;/title&gt;&lt;secondary-title&gt;ICON: International Architecture, Design and Culture&lt;/secondary-title&gt;&lt;/titles&gt;&lt;periodical&gt;&lt;full-title&gt;ICON: International Architecture, Design and Culture&lt;/full-title&gt;&lt;/periodical&gt;&lt;dates&gt;&lt;year&gt;2012&lt;/year&gt;&lt;pub-dates&gt;&lt;date&gt;18.07.2014&lt;/date&gt;&lt;/pub-dates&gt;&lt;/dates&gt;&lt;pub-location&gt;Reino Unido&lt;/pub-location&gt;&lt;urls&gt;&lt;related-urls&gt;&lt;url&gt;http://www.iconeye.com/architecture/features/item/9674-peter-zumthor-s-vardo-memorial&lt;/url&gt;&lt;/related-urls&gt;&lt;/urls&gt;&lt;/record&gt;&lt;/Cite&gt;&lt;/EndNote&gt;</w:instrText>
      </w:r>
      <w:r w:rsidR="007A35BA" w:rsidRPr="00284062">
        <w:fldChar w:fldCharType="separate"/>
      </w:r>
      <w:r w:rsidR="007A35BA" w:rsidRPr="00284062">
        <w:rPr>
          <w:noProof/>
        </w:rPr>
        <w:t>(apud TURNER, 2012. Tradução nossa.)</w:t>
      </w:r>
      <w:r w:rsidR="007A35BA" w:rsidRPr="00284062">
        <w:fldChar w:fldCharType="end"/>
      </w:r>
      <w:r w:rsidR="007A35BA" w:rsidRPr="00284062">
        <w:t>, "quando o vento sopra, o espaço e as luzes começam a mover e somente você está no chão. É feito para este lugar; é muito delicado</w:t>
      </w:r>
      <w:r w:rsidR="003753DD" w:rsidRPr="00284062">
        <w:t>."</w:t>
      </w:r>
    </w:p>
    <w:p w14:paraId="1D0EA57F" w14:textId="675CC4DC" w:rsidR="003753DD" w:rsidRPr="00284062" w:rsidRDefault="00F54946" w:rsidP="003753DD">
      <w:pPr>
        <w:jc w:val="both"/>
      </w:pPr>
      <w:r w:rsidRPr="00284062">
        <w:lastRenderedPageBreak/>
        <w:t xml:space="preserve">Percebe-se, por fim, </w:t>
      </w:r>
      <w:r w:rsidRPr="00284062">
        <w:rPr>
          <w:i/>
        </w:rPr>
        <w:t>a manipulação do senso de equilíbrio e das condições de movimento do usuário na concepção da experiência proposta</w:t>
      </w:r>
      <w:r w:rsidR="009E32B2" w:rsidRPr="00284062">
        <w:t>. Mesmo mantendo-se</w:t>
      </w:r>
      <w:r w:rsidRPr="00284062">
        <w:t xml:space="preserve"> sobre um piso </w:t>
      </w:r>
      <w:r w:rsidR="009E32B2" w:rsidRPr="00284062">
        <w:t>firme</w:t>
      </w:r>
      <w:r w:rsidRPr="00284062">
        <w:t>, o movimento das paredes e do teto afetam a noção de estabili</w:t>
      </w:r>
      <w:r w:rsidR="001E3D6B" w:rsidRPr="00284062">
        <w:t>dade e segurança de quem experiê</w:t>
      </w:r>
      <w:r w:rsidRPr="00284062">
        <w:t>ncia o local.</w:t>
      </w:r>
    </w:p>
    <w:p w14:paraId="62E19ACD" w14:textId="4216AEAC" w:rsidR="00205AEE" w:rsidRPr="00284062" w:rsidRDefault="00885503" w:rsidP="00D32328">
      <w:pPr>
        <w:jc w:val="both"/>
      </w:pPr>
      <w:r w:rsidRPr="00284062">
        <w:t xml:space="preserve">Sob o mesmo princípio, a rampa para entrar e sair do edifício também </w:t>
      </w:r>
      <w:r w:rsidR="00FB44B9" w:rsidRPr="00284062">
        <w:t>é um recurso</w:t>
      </w:r>
      <w:r w:rsidRPr="00284062">
        <w:t xml:space="preserve"> u</w:t>
      </w:r>
      <w:r w:rsidR="00FB44B9" w:rsidRPr="00284062">
        <w:t>tilizado</w:t>
      </w:r>
      <w:r w:rsidRPr="00284062">
        <w:t xml:space="preserve"> para, através da diferenciação da marcha e do esforço empreendido, acentuar a percepção sobre o início e o fim da experiência. </w:t>
      </w:r>
      <w:r w:rsidR="00FB44B9" w:rsidRPr="00284062">
        <w:t xml:space="preserve">Em formatos distintos, a </w:t>
      </w:r>
      <w:r w:rsidR="007A27CE" w:rsidRPr="00284062">
        <w:t xml:space="preserve">estratégia </w:t>
      </w:r>
      <w:r w:rsidR="00FB44B9" w:rsidRPr="00284062">
        <w:t xml:space="preserve">de criar esta preparação a algo novo que acontecerá </w:t>
      </w:r>
      <w:r w:rsidR="007A27CE" w:rsidRPr="00284062">
        <w:t xml:space="preserve">está presente também em outros projetos do arquiteto, como </w:t>
      </w:r>
      <w:r w:rsidR="00FB44B9" w:rsidRPr="00284062">
        <w:t>no Museu Kolumba (Colônia, Alemanha) e no Pavilhão do Serpentine Gallery de 2009 (Londres, Reino Unido).</w:t>
      </w:r>
      <w:r w:rsidRPr="00284062">
        <w:t xml:space="preserve"> </w:t>
      </w:r>
    </w:p>
    <w:p w14:paraId="2001C2CD" w14:textId="77777777" w:rsidR="00205AEE" w:rsidRPr="00284062" w:rsidRDefault="00205AEE" w:rsidP="00D32328">
      <w:pPr>
        <w:autoSpaceDE w:val="0"/>
        <w:autoSpaceDN w:val="0"/>
        <w:adjustRightInd w:val="0"/>
        <w:spacing w:after="0" w:line="240" w:lineRule="auto"/>
        <w:jc w:val="both"/>
      </w:pPr>
    </w:p>
    <w:p w14:paraId="7E9AF468" w14:textId="365208F5" w:rsidR="00205AEE" w:rsidRPr="00284062" w:rsidRDefault="00205AEE" w:rsidP="0063519C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84062">
        <w:rPr>
          <w:rFonts w:cs="Calibri"/>
          <w:b/>
          <w:sz w:val="24"/>
          <w:szCs w:val="24"/>
        </w:rPr>
        <w:t>CONSIDERAÇÕES FINAIS</w:t>
      </w:r>
    </w:p>
    <w:p w14:paraId="199F33FE" w14:textId="77777777" w:rsidR="00205AEE" w:rsidRPr="00284062" w:rsidRDefault="00205AEE" w:rsidP="0063519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1CF3E936" w14:textId="36875C31" w:rsidR="00EA55B4" w:rsidRPr="00284062" w:rsidRDefault="00EA55B4" w:rsidP="0063519C">
      <w:pPr>
        <w:autoSpaceDE w:val="0"/>
        <w:autoSpaceDN w:val="0"/>
        <w:adjustRightInd w:val="0"/>
        <w:spacing w:after="0" w:line="240" w:lineRule="auto"/>
        <w:jc w:val="both"/>
      </w:pPr>
      <w:r w:rsidRPr="00284062">
        <w:rPr>
          <w:rFonts w:cs="Calibri"/>
        </w:rPr>
        <w:t xml:space="preserve">A análise </w:t>
      </w:r>
      <w:r w:rsidR="000C5A75" w:rsidRPr="00284062">
        <w:rPr>
          <w:rFonts w:cs="Calibri"/>
        </w:rPr>
        <w:t xml:space="preserve">aqui apresentada </w:t>
      </w:r>
      <w:r w:rsidRPr="00284062">
        <w:rPr>
          <w:rFonts w:cs="Calibri"/>
        </w:rPr>
        <w:t xml:space="preserve">mostra como as definições de projeto empregadas no Memorial Steilneset, de fato, </w:t>
      </w:r>
      <w:r w:rsidRPr="00284062">
        <w:rPr>
          <w:shd w:val="clear" w:color="auto" w:fill="FFFFFF"/>
        </w:rPr>
        <w:t xml:space="preserve">contribuíram </w:t>
      </w:r>
      <w:r w:rsidRPr="00284062">
        <w:t xml:space="preserve">para potencializar a percepção </w:t>
      </w:r>
      <w:r w:rsidR="00080D68" w:rsidRPr="00284062">
        <w:t>d</w:t>
      </w:r>
      <w:r w:rsidRPr="00284062">
        <w:t>a essência da obra.</w:t>
      </w:r>
    </w:p>
    <w:p w14:paraId="6FDBDB1C" w14:textId="77777777" w:rsidR="000C5A75" w:rsidRPr="00284062" w:rsidRDefault="00EA55B4" w:rsidP="00EA55B4">
      <w:pPr>
        <w:autoSpaceDE w:val="0"/>
        <w:autoSpaceDN w:val="0"/>
        <w:adjustRightInd w:val="0"/>
        <w:spacing w:after="0" w:line="240" w:lineRule="auto"/>
        <w:jc w:val="both"/>
      </w:pPr>
      <w:r w:rsidRPr="00284062">
        <w:t>Ainda que sem requerer qu</w:t>
      </w:r>
      <w:r w:rsidR="000C5A75" w:rsidRPr="00284062">
        <w:t>alquer complexidade tecnológica</w:t>
      </w:r>
      <w:r w:rsidRPr="00284062">
        <w:t xml:space="preserve"> ou de manipulação, as estratégias apresentadas neste estudo pe</w:t>
      </w:r>
      <w:r w:rsidR="000C5A75" w:rsidRPr="00284062">
        <w:t>rmitem definir a experiência proposta pel</w:t>
      </w:r>
      <w:r w:rsidRPr="00284062">
        <w:t>o edifício como algo único e de um rico diálogo com o tema tratado.</w:t>
      </w:r>
      <w:r w:rsidR="000C5A75" w:rsidRPr="00284062">
        <w:t xml:space="preserve"> </w:t>
      </w:r>
    </w:p>
    <w:p w14:paraId="1AFC5A9F" w14:textId="1DF3BFA9" w:rsidR="000C5A75" w:rsidRPr="00284062" w:rsidRDefault="000C5A75" w:rsidP="000C5A75">
      <w:pPr>
        <w:autoSpaceDE w:val="0"/>
        <w:autoSpaceDN w:val="0"/>
        <w:adjustRightInd w:val="0"/>
        <w:spacing w:after="0" w:line="240" w:lineRule="auto"/>
        <w:jc w:val="both"/>
      </w:pPr>
      <w:r w:rsidRPr="00284062">
        <w:t>A obra, por fim, nos deixa a reflexão, já despertada pelos princípios da arquitetura fenomenológica, sobre a potencialidade de uma produção concebida com base nos elementos e recursos percebid</w:t>
      </w:r>
      <w:r w:rsidR="007032F0" w:rsidRPr="00284062">
        <w:t xml:space="preserve">os no contexto preexistente. Aqui, </w:t>
      </w:r>
      <w:r w:rsidR="00080D68" w:rsidRPr="00284062">
        <w:t>a destre</w:t>
      </w:r>
      <w:r w:rsidR="004F2EB0" w:rsidRPr="00284062">
        <w:t xml:space="preserve">za do arranjo entre as partes </w:t>
      </w:r>
      <w:r w:rsidR="00080D68" w:rsidRPr="00284062">
        <w:t>resulta num produto concomitantemente complexo</w:t>
      </w:r>
      <w:r w:rsidR="004E67F0" w:rsidRPr="00284062">
        <w:t xml:space="preserve"> e poético</w:t>
      </w:r>
      <w:r w:rsidR="007032F0" w:rsidRPr="00284062">
        <w:t>.</w:t>
      </w:r>
    </w:p>
    <w:p w14:paraId="62A9A1E6" w14:textId="77777777" w:rsidR="00EA55B4" w:rsidRPr="00284062" w:rsidRDefault="00EA55B4" w:rsidP="007B2EAF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14:paraId="57CF56C0" w14:textId="14ADD7ED" w:rsidR="00863708" w:rsidRPr="00284062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4"/>
          <w:szCs w:val="24"/>
        </w:rPr>
      </w:pPr>
      <w:r w:rsidRPr="00284062">
        <w:rPr>
          <w:rFonts w:cs="Calibri"/>
          <w:b/>
          <w:sz w:val="24"/>
          <w:szCs w:val="24"/>
        </w:rPr>
        <w:t>AGRADECIMENTOS</w:t>
      </w:r>
      <w:r w:rsidR="00B55831" w:rsidRPr="00284062">
        <w:rPr>
          <w:rFonts w:cs="Calibri"/>
          <w:b/>
          <w:sz w:val="24"/>
          <w:szCs w:val="24"/>
        </w:rPr>
        <w:t xml:space="preserve"> </w:t>
      </w:r>
    </w:p>
    <w:p w14:paraId="6C414ED3" w14:textId="77777777" w:rsidR="00FB082F" w:rsidRPr="00284062" w:rsidRDefault="00FB082F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483FEE99" w14:textId="29DA1C5D" w:rsidR="00CF1E74" w:rsidRPr="00284062" w:rsidRDefault="00FB082F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84062">
        <w:rPr>
          <w:rFonts w:cs="Calibri"/>
        </w:rPr>
        <w:t>Ao Prof. George Dantas, à CAPES e ao PPGAU pela contribuição ao estudo.</w:t>
      </w:r>
    </w:p>
    <w:p w14:paraId="57B13E2B" w14:textId="77777777" w:rsidR="00CF1E74" w:rsidRPr="00284062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48AAA594" w14:textId="18E307DF" w:rsidR="00CF1E74" w:rsidRPr="00284062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84062">
        <w:rPr>
          <w:rFonts w:cs="Calibri"/>
          <w:b/>
          <w:sz w:val="24"/>
          <w:szCs w:val="24"/>
        </w:rPr>
        <w:t>REFERÊNCIAS BIBLIOGRÁFICAS</w:t>
      </w:r>
    </w:p>
    <w:p w14:paraId="0C16ED67" w14:textId="77777777" w:rsidR="00A374FF" w:rsidRPr="00284062" w:rsidRDefault="00A374FF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0AC85AF6" w14:textId="0CBC87FC" w:rsidR="000E1CAD" w:rsidRPr="000E1CAD" w:rsidRDefault="00A374FF" w:rsidP="00C50E10">
      <w:pPr>
        <w:pStyle w:val="EndNoteBibliography"/>
        <w:spacing w:after="0"/>
        <w:rPr>
          <w:noProof/>
          <w:sz w:val="20"/>
          <w:szCs w:val="20"/>
        </w:rPr>
      </w:pPr>
      <w:r w:rsidRPr="000E1CAD">
        <w:rPr>
          <w:rFonts w:cs="Calibri"/>
          <w:sz w:val="20"/>
          <w:szCs w:val="20"/>
        </w:rPr>
        <w:fldChar w:fldCharType="begin"/>
      </w:r>
      <w:r w:rsidRPr="000C1116">
        <w:rPr>
          <w:rFonts w:cs="Calibri"/>
          <w:sz w:val="20"/>
          <w:szCs w:val="20"/>
          <w:lang w:val="pt-BR"/>
        </w:rPr>
        <w:instrText xml:space="preserve"> ADDIN EN.REFLIST </w:instrText>
      </w:r>
      <w:r w:rsidRPr="000E1CAD">
        <w:rPr>
          <w:rFonts w:cs="Calibri"/>
          <w:sz w:val="20"/>
          <w:szCs w:val="20"/>
        </w:rPr>
        <w:fldChar w:fldCharType="separate"/>
      </w:r>
      <w:r w:rsidR="00C50E10" w:rsidRPr="000C1116">
        <w:rPr>
          <w:noProof/>
          <w:sz w:val="20"/>
          <w:szCs w:val="20"/>
          <w:lang w:val="pt-BR"/>
        </w:rPr>
        <w:t xml:space="preserve">ATKIN, L.; GUTHRIE, S. Peter Zumthor’s Vardø memorial. </w:t>
      </w:r>
      <w:r w:rsidR="00C50E10" w:rsidRPr="000E1CAD">
        <w:rPr>
          <w:b/>
          <w:noProof/>
          <w:sz w:val="20"/>
          <w:szCs w:val="20"/>
        </w:rPr>
        <w:t>ARCHITECTUREAU</w:t>
      </w:r>
      <w:r w:rsidR="00C50E10" w:rsidRPr="000E1CAD">
        <w:rPr>
          <w:noProof/>
          <w:sz w:val="20"/>
          <w:szCs w:val="20"/>
        </w:rPr>
        <w:t>, 2014.  Disponível em: &lt;</w:t>
      </w:r>
      <w:hyperlink r:id="rId16" w:history="1">
        <w:r w:rsidR="00C50E10" w:rsidRPr="000C1116">
          <w:rPr>
            <w:rStyle w:val="Hyperlink"/>
            <w:noProof/>
            <w:sz w:val="20"/>
            <w:szCs w:val="20"/>
          </w:rPr>
          <w:t>http://architectureau.com/articles/witchcraft-memorial-vardo-norway/</w:t>
        </w:r>
      </w:hyperlink>
      <w:r w:rsidR="00C50E10" w:rsidRPr="000E1CAD">
        <w:rPr>
          <w:noProof/>
          <w:sz w:val="20"/>
          <w:szCs w:val="20"/>
        </w:rPr>
        <w:t xml:space="preserve"> &gt;. Acesso em 01.08.2014.</w:t>
      </w:r>
    </w:p>
    <w:p w14:paraId="04DF21CC" w14:textId="77777777" w:rsidR="00C50E10" w:rsidRPr="000E1CAD" w:rsidRDefault="00C50E10" w:rsidP="00C50E10">
      <w:pPr>
        <w:pStyle w:val="EndNoteBibliography"/>
        <w:spacing w:after="0"/>
        <w:rPr>
          <w:noProof/>
          <w:sz w:val="20"/>
          <w:szCs w:val="20"/>
        </w:rPr>
      </w:pPr>
      <w:r w:rsidRPr="000E1CAD">
        <w:rPr>
          <w:noProof/>
          <w:sz w:val="20"/>
          <w:szCs w:val="20"/>
        </w:rPr>
        <w:lastRenderedPageBreak/>
        <w:t xml:space="preserve">BOHME, G. Atmosphere as mindful physical presence in space. </w:t>
      </w:r>
      <w:r w:rsidRPr="000E1CAD">
        <w:rPr>
          <w:b/>
          <w:noProof/>
          <w:sz w:val="20"/>
          <w:szCs w:val="20"/>
        </w:rPr>
        <w:t>OASE: Sfeer bouwen | Building Atmosphere</w:t>
      </w:r>
      <w:r w:rsidRPr="000E1CAD">
        <w:rPr>
          <w:noProof/>
          <w:sz w:val="20"/>
          <w:szCs w:val="20"/>
        </w:rPr>
        <w:t>. Rotterdam, n. 91, p. 21-32, 2013.</w:t>
      </w:r>
    </w:p>
    <w:p w14:paraId="73D468EB" w14:textId="0ACC0F04" w:rsidR="00C50E10" w:rsidRPr="000C1116" w:rsidRDefault="00C50E10" w:rsidP="00C50E10">
      <w:pPr>
        <w:pStyle w:val="EndNoteBibliography"/>
        <w:spacing w:after="0"/>
        <w:rPr>
          <w:noProof/>
          <w:sz w:val="20"/>
          <w:szCs w:val="20"/>
          <w:lang w:val="pt-BR"/>
        </w:rPr>
      </w:pPr>
      <w:r w:rsidRPr="000E1CAD">
        <w:rPr>
          <w:noProof/>
          <w:sz w:val="20"/>
          <w:szCs w:val="20"/>
        </w:rPr>
        <w:t xml:space="preserve">FREARSON, A. Steilneset Memorial by Peter Zumthor and Louise Bourgeouis. </w:t>
      </w:r>
      <w:r w:rsidRPr="000C1116">
        <w:rPr>
          <w:b/>
          <w:noProof/>
          <w:sz w:val="20"/>
          <w:szCs w:val="20"/>
          <w:lang w:val="pt-BR"/>
        </w:rPr>
        <w:t>DEEZEN Magazine</w:t>
      </w:r>
      <w:r w:rsidRPr="000C1116">
        <w:rPr>
          <w:noProof/>
          <w:sz w:val="20"/>
          <w:szCs w:val="20"/>
          <w:lang w:val="pt-BR"/>
        </w:rPr>
        <w:t>, 2012.  Disponível em: &lt;</w:t>
      </w:r>
      <w:hyperlink r:id="rId17" w:history="1">
        <w:r w:rsidRPr="000E1CAD">
          <w:rPr>
            <w:rStyle w:val="Hyperlink"/>
            <w:noProof/>
            <w:sz w:val="20"/>
            <w:szCs w:val="20"/>
            <w:lang w:val="pt-BR"/>
          </w:rPr>
          <w:t>http://www.dezeen.com/2012/01/03/steilneset-memorial-by-peter-zumthor-and-louise-bourgeois/</w:t>
        </w:r>
      </w:hyperlink>
      <w:r w:rsidRPr="000C1116">
        <w:rPr>
          <w:noProof/>
          <w:sz w:val="20"/>
          <w:szCs w:val="20"/>
          <w:lang w:val="pt-BR"/>
        </w:rPr>
        <w:t xml:space="preserve"> &gt;. Acesso em 10.07.2014.</w:t>
      </w:r>
    </w:p>
    <w:p w14:paraId="7B92BC6C" w14:textId="77777777" w:rsidR="00C50E10" w:rsidRPr="000E1CAD" w:rsidRDefault="00C50E10" w:rsidP="00C50E10">
      <w:pPr>
        <w:pStyle w:val="EndNoteBibliography"/>
        <w:spacing w:after="0"/>
        <w:rPr>
          <w:noProof/>
          <w:sz w:val="20"/>
          <w:szCs w:val="20"/>
        </w:rPr>
      </w:pPr>
      <w:r w:rsidRPr="000C1116">
        <w:rPr>
          <w:noProof/>
          <w:sz w:val="20"/>
          <w:szCs w:val="20"/>
          <w:lang w:val="pt-BR"/>
        </w:rPr>
        <w:t xml:space="preserve">NESBITT, K. </w:t>
      </w:r>
      <w:r w:rsidRPr="000C1116">
        <w:rPr>
          <w:b/>
          <w:noProof/>
          <w:sz w:val="20"/>
          <w:szCs w:val="20"/>
          <w:lang w:val="pt-BR"/>
        </w:rPr>
        <w:t>Uma nova agenda para a arquitetura: Antologia Teórica 1965-1995</w:t>
      </w:r>
      <w:r w:rsidRPr="000C1116">
        <w:rPr>
          <w:noProof/>
          <w:sz w:val="20"/>
          <w:szCs w:val="20"/>
          <w:lang w:val="pt-BR"/>
        </w:rPr>
        <w:t xml:space="preserve">.  </w:t>
      </w:r>
      <w:r w:rsidRPr="000E1CAD">
        <w:rPr>
          <w:noProof/>
          <w:sz w:val="20"/>
          <w:szCs w:val="20"/>
        </w:rPr>
        <w:t>2 ed. São Paulo: Cosac Naify, 2008. ISBN 8575035053, 9788575035054.</w:t>
      </w:r>
    </w:p>
    <w:p w14:paraId="391EFFFA" w14:textId="77777777" w:rsidR="00C50E10" w:rsidRPr="000C1116" w:rsidRDefault="00C50E10" w:rsidP="00C50E10">
      <w:pPr>
        <w:pStyle w:val="EndNoteBibliography"/>
        <w:spacing w:after="0"/>
        <w:rPr>
          <w:noProof/>
          <w:sz w:val="20"/>
          <w:szCs w:val="20"/>
          <w:lang w:val="pt-BR"/>
        </w:rPr>
      </w:pPr>
      <w:r w:rsidRPr="000E1CAD">
        <w:rPr>
          <w:noProof/>
          <w:sz w:val="20"/>
          <w:szCs w:val="20"/>
        </w:rPr>
        <w:t xml:space="preserve">NORBERG-SCHULZ, C. </w:t>
      </w:r>
      <w:r w:rsidRPr="000E1CAD">
        <w:rPr>
          <w:b/>
          <w:noProof/>
          <w:sz w:val="20"/>
          <w:szCs w:val="20"/>
        </w:rPr>
        <w:t>Architecture: Meaning and Place</w:t>
      </w:r>
      <w:r w:rsidRPr="000E1CAD">
        <w:rPr>
          <w:noProof/>
          <w:sz w:val="20"/>
          <w:szCs w:val="20"/>
        </w:rPr>
        <w:t xml:space="preserve">.  </w:t>
      </w:r>
      <w:r w:rsidRPr="000C1116">
        <w:rPr>
          <w:noProof/>
          <w:sz w:val="20"/>
          <w:szCs w:val="20"/>
          <w:lang w:val="pt-BR"/>
        </w:rPr>
        <w:t>01 ed. Nova Iorque: Rizzoli, 1988. 254 p.</w:t>
      </w:r>
    </w:p>
    <w:p w14:paraId="040C7EAA" w14:textId="01BC5868" w:rsidR="00C50E10" w:rsidRPr="000E1CAD" w:rsidRDefault="00C50E10" w:rsidP="00C50E10">
      <w:pPr>
        <w:pStyle w:val="EndNoteBibliography"/>
        <w:spacing w:after="0"/>
        <w:rPr>
          <w:noProof/>
          <w:sz w:val="20"/>
          <w:szCs w:val="20"/>
        </w:rPr>
      </w:pPr>
      <w:r w:rsidRPr="000E1CAD">
        <w:rPr>
          <w:noProof/>
          <w:sz w:val="20"/>
          <w:szCs w:val="20"/>
        </w:rPr>
        <w:t xml:space="preserve">TURNER, C. Peter Zumthor's Vardo Memorial. </w:t>
      </w:r>
      <w:r w:rsidRPr="000E1CAD">
        <w:rPr>
          <w:b/>
          <w:noProof/>
          <w:sz w:val="20"/>
          <w:szCs w:val="20"/>
        </w:rPr>
        <w:t>ICON: International Architecture, Design and Culture</w:t>
      </w:r>
      <w:r w:rsidRPr="000E1CAD">
        <w:rPr>
          <w:noProof/>
          <w:sz w:val="20"/>
          <w:szCs w:val="20"/>
        </w:rPr>
        <w:t>,  Reino Unido, 2012.  Disponível em: &lt;</w:t>
      </w:r>
      <w:hyperlink r:id="rId18" w:history="1">
        <w:r w:rsidRPr="000C1116">
          <w:rPr>
            <w:rStyle w:val="Hyperlink"/>
            <w:noProof/>
            <w:sz w:val="20"/>
            <w:szCs w:val="20"/>
          </w:rPr>
          <w:t>http://www.iconeye.com/architecture/features/item/9674-peter-zumthor-s-vardo-memorial</w:t>
        </w:r>
      </w:hyperlink>
      <w:r w:rsidRPr="000E1CAD">
        <w:rPr>
          <w:noProof/>
          <w:sz w:val="20"/>
          <w:szCs w:val="20"/>
        </w:rPr>
        <w:t xml:space="preserve"> &gt;. Acesso em 18.07.2014.</w:t>
      </w:r>
    </w:p>
    <w:p w14:paraId="092CB0DB" w14:textId="528624EB" w:rsidR="00C50E10" w:rsidRPr="000C1116" w:rsidRDefault="00C50E10" w:rsidP="00C50E10">
      <w:pPr>
        <w:pStyle w:val="EndNoteBibliography"/>
        <w:rPr>
          <w:noProof/>
          <w:sz w:val="20"/>
          <w:szCs w:val="20"/>
          <w:lang w:val="pt-BR"/>
        </w:rPr>
      </w:pPr>
      <w:r w:rsidRPr="000E1CAD">
        <w:rPr>
          <w:noProof/>
          <w:sz w:val="20"/>
          <w:szCs w:val="20"/>
        </w:rPr>
        <w:t xml:space="preserve">ZAKOUT, A.; MALLORY, T. Open Buildings. </w:t>
      </w:r>
      <w:r w:rsidRPr="000E1CAD">
        <w:rPr>
          <w:b/>
          <w:noProof/>
          <w:sz w:val="20"/>
          <w:szCs w:val="20"/>
        </w:rPr>
        <w:t>Steilneset Witch Trial Memorial</w:t>
      </w:r>
      <w:r w:rsidRPr="000E1CAD">
        <w:rPr>
          <w:noProof/>
          <w:sz w:val="20"/>
          <w:szCs w:val="20"/>
        </w:rPr>
        <w:t xml:space="preserve">, s.d.  </w:t>
      </w:r>
      <w:r w:rsidRPr="000C1116">
        <w:rPr>
          <w:noProof/>
          <w:sz w:val="20"/>
          <w:szCs w:val="20"/>
          <w:lang w:val="pt-BR"/>
        </w:rPr>
        <w:t>Disponível em: &lt;</w:t>
      </w:r>
      <w:hyperlink r:id="rId19" w:history="1">
        <w:r w:rsidRPr="000E1CAD">
          <w:rPr>
            <w:rStyle w:val="Hyperlink"/>
            <w:noProof/>
            <w:sz w:val="20"/>
            <w:szCs w:val="20"/>
            <w:lang w:val="pt-BR"/>
          </w:rPr>
          <w:t>http://openbuildings.com/buildings/steilneset-witch-trial-memorial-profile-41856</w:t>
        </w:r>
      </w:hyperlink>
      <w:r w:rsidRPr="000C1116">
        <w:rPr>
          <w:noProof/>
          <w:sz w:val="20"/>
          <w:szCs w:val="20"/>
          <w:lang w:val="pt-BR"/>
        </w:rPr>
        <w:t xml:space="preserve"> &gt;. Acesso em: 09.01 de 2015.</w:t>
      </w:r>
    </w:p>
    <w:p w14:paraId="62EB1E3A" w14:textId="6E63E3F2" w:rsidR="00F66E79" w:rsidRPr="00284062" w:rsidRDefault="00A374FF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0E1CAD">
        <w:rPr>
          <w:rFonts w:cs="Calibri"/>
          <w:sz w:val="20"/>
          <w:szCs w:val="20"/>
        </w:rPr>
        <w:fldChar w:fldCharType="end"/>
      </w:r>
    </w:p>
    <w:p w14:paraId="3C6A68F8" w14:textId="77777777" w:rsidR="00B07D07" w:rsidRPr="00284062" w:rsidRDefault="00B07D07" w:rsidP="00B07D07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0"/>
          <w:szCs w:val="20"/>
        </w:rPr>
      </w:pPr>
      <w:r w:rsidRPr="00284062">
        <w:rPr>
          <w:rFonts w:cs="Calibri"/>
          <w:b/>
          <w:sz w:val="20"/>
          <w:szCs w:val="20"/>
        </w:rPr>
        <w:t>NOTAS</w:t>
      </w:r>
    </w:p>
    <w:p w14:paraId="4D0B0FCF" w14:textId="77777777" w:rsidR="00B07D07" w:rsidRPr="00284062" w:rsidRDefault="00B07D07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34DC398A" w14:textId="08F59AD8" w:rsidR="007708B0" w:rsidRPr="00284062" w:rsidRDefault="001616B3" w:rsidP="001616B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18"/>
          <w:szCs w:val="18"/>
        </w:rPr>
      </w:pPr>
      <w:r w:rsidRPr="00284062">
        <w:rPr>
          <w:rFonts w:cs="Calibri"/>
          <w:sz w:val="18"/>
          <w:szCs w:val="18"/>
        </w:rPr>
        <w:t xml:space="preserve">1. </w:t>
      </w:r>
      <w:r w:rsidR="007708B0" w:rsidRPr="00284062">
        <w:rPr>
          <w:rFonts w:cs="Calibri"/>
          <w:sz w:val="18"/>
          <w:szCs w:val="18"/>
        </w:rPr>
        <w:t xml:space="preserve">Aqui, entendido como característica relevante que define o lugar. </w:t>
      </w:r>
    </w:p>
    <w:p w14:paraId="7B80EB44" w14:textId="735BF548" w:rsidR="00B07D07" w:rsidRPr="00284062" w:rsidRDefault="007708B0" w:rsidP="001616B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18"/>
          <w:szCs w:val="18"/>
        </w:rPr>
      </w:pPr>
      <w:r w:rsidRPr="00284062">
        <w:rPr>
          <w:rFonts w:cs="Calibri"/>
          <w:sz w:val="18"/>
          <w:szCs w:val="18"/>
        </w:rPr>
        <w:t xml:space="preserve">2. </w:t>
      </w:r>
      <w:r w:rsidR="001616B3" w:rsidRPr="00284062">
        <w:rPr>
          <w:rFonts w:cs="Calibri"/>
          <w:sz w:val="18"/>
          <w:szCs w:val="18"/>
        </w:rPr>
        <w:t>Em português, " Os condenados, os possuídos e os amados".</w:t>
      </w:r>
    </w:p>
    <w:p w14:paraId="65DF449F" w14:textId="41020922" w:rsidR="00AF1F63" w:rsidRPr="001616B3" w:rsidRDefault="007708B0" w:rsidP="001616B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18"/>
          <w:szCs w:val="18"/>
        </w:rPr>
      </w:pPr>
      <w:r w:rsidRPr="00284062">
        <w:rPr>
          <w:rFonts w:cs="Calibri"/>
          <w:sz w:val="18"/>
          <w:szCs w:val="18"/>
        </w:rPr>
        <w:t>3</w:t>
      </w:r>
      <w:r w:rsidR="00AF1F63" w:rsidRPr="00284062">
        <w:rPr>
          <w:rFonts w:cs="Calibri"/>
          <w:sz w:val="18"/>
          <w:szCs w:val="18"/>
        </w:rPr>
        <w:t xml:space="preserve">. Em Vardø, uma lâmpada acesa dentro de casa anuncia a presença do </w:t>
      </w:r>
      <w:r w:rsidR="008B661E" w:rsidRPr="00284062">
        <w:rPr>
          <w:rFonts w:cs="Calibri"/>
          <w:sz w:val="18"/>
          <w:szCs w:val="18"/>
        </w:rPr>
        <w:t>habitante</w:t>
      </w:r>
      <w:r w:rsidR="00AF1F63" w:rsidRPr="00284062">
        <w:rPr>
          <w:rFonts w:cs="Calibri"/>
          <w:sz w:val="18"/>
          <w:szCs w:val="18"/>
        </w:rPr>
        <w:t>.</w:t>
      </w:r>
    </w:p>
    <w:sectPr w:rsidR="00AF1F63" w:rsidRPr="001616B3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FFE9DDA" w14:textId="77777777" w:rsidR="00DE6D95" w:rsidRDefault="00DE6D95" w:rsidP="00CF1E74">
      <w:pPr>
        <w:spacing w:after="0" w:line="240" w:lineRule="auto"/>
      </w:pPr>
      <w:r>
        <w:separator/>
      </w:r>
    </w:p>
  </w:endnote>
  <w:endnote w:type="continuationSeparator" w:id="0">
    <w:p w14:paraId="741CEF7F" w14:textId="77777777" w:rsidR="00DE6D95" w:rsidRDefault="00DE6D95" w:rsidP="00CF1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altName w:val="Calibri"/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965C26" w14:textId="77777777" w:rsidR="008B661E" w:rsidRDefault="008B661E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 wp14:anchorId="22A73BAC" wp14:editId="04A8EF8F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E59D6D4" w14:textId="77777777" w:rsidR="008B661E" w:rsidRPr="00F34F0A" w:rsidRDefault="008B661E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EA250" w14:textId="77777777" w:rsidR="008B661E" w:rsidRPr="00591785" w:rsidRDefault="008B661E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78BCF9" w14:textId="77777777" w:rsidR="00DE6D95" w:rsidRDefault="00DE6D95" w:rsidP="00CF1E74">
      <w:pPr>
        <w:spacing w:after="0" w:line="240" w:lineRule="auto"/>
      </w:pPr>
      <w:r>
        <w:separator/>
      </w:r>
    </w:p>
  </w:footnote>
  <w:footnote w:type="continuationSeparator" w:id="0">
    <w:p w14:paraId="2C6D1B8F" w14:textId="77777777" w:rsidR="00DE6D95" w:rsidRDefault="00DE6D95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B78DC2" w14:textId="77777777" w:rsidR="008B661E" w:rsidRDefault="008B661E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30B8AB7B" wp14:editId="3797577D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727710" cy="329565"/>
              <wp:effectExtent l="0" t="0" r="0" b="0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771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5C8C40" w14:textId="77777777" w:rsidR="008B661E" w:rsidRDefault="008B661E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0C1116"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0B8AB7B" id="Retângulo 4" o:spid="_x0000_s1026" style="position:absolute;left:0;text-align:left;margin-left:40.7pt;margin-top:0;width:57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" o:allowincell="f" stroked="f">
              <v:textbox>
                <w:txbxContent>
                  <w:p w14:paraId="625C8C40" w14:textId="77777777" w:rsidR="008B661E" w:rsidRDefault="008B661E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0C1116"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pt-BR"/>
      </w:rPr>
      <w:drawing>
        <wp:inline distT="0" distB="0" distL="0" distR="0" wp14:anchorId="44042D07" wp14:editId="6F403E7B">
          <wp:extent cx="362585" cy="405130"/>
          <wp:effectExtent l="0" t="0" r="0" b="0"/>
          <wp:docPr id="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CC63187" w14:textId="77777777" w:rsidR="008B661E" w:rsidRPr="00AC6A08" w:rsidRDefault="008B661E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 xml:space="preserve">Programa de Pós-Graduação em Arquitetura e Urbanismo |PPGAU/UFRN    </w:t>
    </w:r>
  </w:p>
  <w:p w14:paraId="6A66F12A" w14:textId="77777777" w:rsidR="008B661E" w:rsidRPr="00A64C65" w:rsidRDefault="008B661E" w:rsidP="00A64C65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0EA9E5D4" wp14:editId="26E2B448">
          <wp:extent cx="4839335" cy="5460365"/>
          <wp:effectExtent l="0" t="0" r="0" b="6985"/>
          <wp:docPr id="2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622B05D2" wp14:editId="278B3710">
          <wp:extent cx="4839335" cy="5460365"/>
          <wp:effectExtent l="0" t="0" r="0" b="6985"/>
          <wp:docPr id="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1A2304" w14:textId="77777777" w:rsidR="008B661E" w:rsidRDefault="008B661E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 wp14:anchorId="22CC1843" wp14:editId="0ACB85B4">
          <wp:extent cx="1228706" cy="741082"/>
          <wp:effectExtent l="0" t="0" r="0" b="1905"/>
          <wp:docPr id="8" name="Imagem 8" descr="C:\Users\Rubenilson\Desktop\Logo 3 simposi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3846" cy="7441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14:paraId="30BE1E61" w14:textId="77777777" w:rsidR="008B661E" w:rsidRPr="00DC669D" w:rsidRDefault="008B661E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3CD5092E" wp14:editId="53CE0BCB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FD2644" w14:textId="77777777" w:rsidR="008B661E" w:rsidRDefault="008B661E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0C1116">
                            <w:rPr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CD5092E" id="_x0000_s1027" style="position:absolute;left:0;text-align:left;margin-left:566.7pt;margin-top:409.05pt;width:28.8pt;height:25.95pt;z-index:251658240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" o:allowincell="f" stroked="f">
              <v:textbox>
                <w:txbxContent>
                  <w:p w14:paraId="4AFD2644" w14:textId="77777777" w:rsidR="008B661E" w:rsidRDefault="008B661E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0C1116">
                      <w:rPr>
                        <w:noProof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color w:val="948A54"/>
        <w:spacing w:val="20"/>
        <w:sz w:val="20"/>
        <w:szCs w:val="20"/>
      </w:rPr>
      <w:t>3</w:t>
    </w:r>
    <w:r w:rsidRPr="00DC669D">
      <w:rPr>
        <w:color w:val="948A54"/>
        <w:spacing w:val="20"/>
        <w:sz w:val="20"/>
        <w:szCs w:val="20"/>
      </w:rPr>
      <w:t xml:space="preserve">° </w:t>
    </w:r>
    <w:r w:rsidRPr="00744250">
      <w:rPr>
        <w:color w:val="948A54"/>
        <w:spacing w:val="20"/>
        <w:sz w:val="20"/>
        <w:szCs w:val="20"/>
      </w:rPr>
      <w:t>SIMPÓSIO</w:t>
    </w:r>
    <w:r>
      <w:rPr>
        <w:color w:val="948A54"/>
        <w:spacing w:val="20"/>
        <w:sz w:val="20"/>
        <w:szCs w:val="20"/>
      </w:rPr>
      <w:t xml:space="preserve"> </w:t>
    </w:r>
    <w:r w:rsidRPr="00DC669D">
      <w:rPr>
        <w:color w:val="948A54"/>
        <w:spacing w:val="20"/>
        <w:sz w:val="20"/>
        <w:szCs w:val="20"/>
      </w:rPr>
      <w:t>DE PESQUISA DO PPGAU-UFRN</w:t>
    </w:r>
    <w:r w:rsidRPr="00DC669D">
      <w:rPr>
        <w:color w:val="948A54"/>
        <w:spacing w:val="20"/>
        <w:sz w:val="16"/>
        <w:szCs w:val="16"/>
      </w:rPr>
      <w:t xml:space="preserve"> – </w:t>
    </w:r>
    <w:r>
      <w:rPr>
        <w:color w:val="948A54"/>
        <w:spacing w:val="20"/>
        <w:sz w:val="16"/>
        <w:szCs w:val="16"/>
      </w:rPr>
      <w:t>DOUTORADO</w:t>
    </w:r>
    <w:r w:rsidRPr="00DC669D">
      <w:rPr>
        <w:color w:val="948A54"/>
        <w:spacing w:val="20"/>
        <w:sz w:val="16"/>
        <w:szCs w:val="16"/>
      </w:rPr>
      <w:t xml:space="preserve">, </w:t>
    </w:r>
    <w:r>
      <w:rPr>
        <w:color w:val="948A54"/>
        <w:spacing w:val="20"/>
        <w:sz w:val="16"/>
        <w:szCs w:val="16"/>
      </w:rPr>
      <w:t>MESTRADO ACADÊMICO</w:t>
    </w:r>
    <w:r w:rsidRPr="00DC669D">
      <w:rPr>
        <w:color w:val="948A54"/>
        <w:spacing w:val="20"/>
        <w:sz w:val="16"/>
        <w:szCs w:val="16"/>
      </w:rPr>
      <w:t xml:space="preserve"> e MESTRADO PROFISSIONAL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BNT (Author-Date) Leila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92zadxt0i5vawfe59sg5dps15zzfrf5r9a2e&quot;&gt;My EndNote Library&lt;record-ids&gt;&lt;item&gt;11&lt;/item&gt;&lt;item&gt;65&lt;/item&gt;&lt;item&gt;89&lt;/item&gt;&lt;item&gt;93&lt;/item&gt;&lt;item&gt;94&lt;/item&gt;&lt;item&gt;138&lt;/item&gt;&lt;item&gt;139&lt;/item&gt;&lt;/record-ids&gt;&lt;/item&gt;&lt;/Libraries&gt;"/>
  </w:docVars>
  <w:rsids>
    <w:rsidRoot w:val="00CF1E74"/>
    <w:rsid w:val="00080D68"/>
    <w:rsid w:val="0008317A"/>
    <w:rsid w:val="000C02AB"/>
    <w:rsid w:val="000C1116"/>
    <w:rsid w:val="000C1AC1"/>
    <w:rsid w:val="000C3685"/>
    <w:rsid w:val="000C5A75"/>
    <w:rsid w:val="000D5D30"/>
    <w:rsid w:val="000E1CAD"/>
    <w:rsid w:val="000F70AB"/>
    <w:rsid w:val="00111B3A"/>
    <w:rsid w:val="001125CD"/>
    <w:rsid w:val="0013088B"/>
    <w:rsid w:val="001616B3"/>
    <w:rsid w:val="00167CD1"/>
    <w:rsid w:val="0017634B"/>
    <w:rsid w:val="00192FE6"/>
    <w:rsid w:val="001A2B7A"/>
    <w:rsid w:val="001A3B6A"/>
    <w:rsid w:val="001D1086"/>
    <w:rsid w:val="001D2629"/>
    <w:rsid w:val="001E3D6B"/>
    <w:rsid w:val="001F549D"/>
    <w:rsid w:val="0020318F"/>
    <w:rsid w:val="00205AEE"/>
    <w:rsid w:val="00224CD8"/>
    <w:rsid w:val="00244395"/>
    <w:rsid w:val="00284062"/>
    <w:rsid w:val="00294D9C"/>
    <w:rsid w:val="002A0FB7"/>
    <w:rsid w:val="002A7F4C"/>
    <w:rsid w:val="002E04E1"/>
    <w:rsid w:val="003009A2"/>
    <w:rsid w:val="00323B38"/>
    <w:rsid w:val="003370FC"/>
    <w:rsid w:val="00344A60"/>
    <w:rsid w:val="003753DD"/>
    <w:rsid w:val="00375E0C"/>
    <w:rsid w:val="0037735A"/>
    <w:rsid w:val="003B00CB"/>
    <w:rsid w:val="003D31EA"/>
    <w:rsid w:val="003D328D"/>
    <w:rsid w:val="003D5B85"/>
    <w:rsid w:val="003E017D"/>
    <w:rsid w:val="003E4329"/>
    <w:rsid w:val="003E52D4"/>
    <w:rsid w:val="003E766A"/>
    <w:rsid w:val="003F4FF8"/>
    <w:rsid w:val="003F6385"/>
    <w:rsid w:val="00411FAD"/>
    <w:rsid w:val="00413E3B"/>
    <w:rsid w:val="004727AB"/>
    <w:rsid w:val="00492705"/>
    <w:rsid w:val="004C4533"/>
    <w:rsid w:val="004E56E8"/>
    <w:rsid w:val="004E67F0"/>
    <w:rsid w:val="004F2EB0"/>
    <w:rsid w:val="00522974"/>
    <w:rsid w:val="0053768C"/>
    <w:rsid w:val="00537D80"/>
    <w:rsid w:val="00591785"/>
    <w:rsid w:val="005936F1"/>
    <w:rsid w:val="005974DD"/>
    <w:rsid w:val="005B2B4A"/>
    <w:rsid w:val="005C69B7"/>
    <w:rsid w:val="005F559F"/>
    <w:rsid w:val="0061057F"/>
    <w:rsid w:val="00625AC5"/>
    <w:rsid w:val="0063519C"/>
    <w:rsid w:val="00640C5F"/>
    <w:rsid w:val="00652A9B"/>
    <w:rsid w:val="00652EF3"/>
    <w:rsid w:val="00656540"/>
    <w:rsid w:val="00666387"/>
    <w:rsid w:val="00682857"/>
    <w:rsid w:val="006A31FC"/>
    <w:rsid w:val="006B30CB"/>
    <w:rsid w:val="006C1D16"/>
    <w:rsid w:val="006D40A7"/>
    <w:rsid w:val="006D6FC4"/>
    <w:rsid w:val="007032F0"/>
    <w:rsid w:val="00704DDC"/>
    <w:rsid w:val="00717201"/>
    <w:rsid w:val="00732761"/>
    <w:rsid w:val="00744250"/>
    <w:rsid w:val="00744D45"/>
    <w:rsid w:val="00763CBE"/>
    <w:rsid w:val="007708B0"/>
    <w:rsid w:val="007A27CE"/>
    <w:rsid w:val="007A35BA"/>
    <w:rsid w:val="007B229D"/>
    <w:rsid w:val="007B2784"/>
    <w:rsid w:val="007B2EAF"/>
    <w:rsid w:val="007B344F"/>
    <w:rsid w:val="007E62E4"/>
    <w:rsid w:val="008158B3"/>
    <w:rsid w:val="00852EDB"/>
    <w:rsid w:val="008618F6"/>
    <w:rsid w:val="00863708"/>
    <w:rsid w:val="00885503"/>
    <w:rsid w:val="008941F4"/>
    <w:rsid w:val="008A17C6"/>
    <w:rsid w:val="008A1B11"/>
    <w:rsid w:val="008A668B"/>
    <w:rsid w:val="008A6D3D"/>
    <w:rsid w:val="008A721A"/>
    <w:rsid w:val="008B661E"/>
    <w:rsid w:val="008C30C5"/>
    <w:rsid w:val="008C324F"/>
    <w:rsid w:val="008E51D4"/>
    <w:rsid w:val="008E5438"/>
    <w:rsid w:val="00901D35"/>
    <w:rsid w:val="00953512"/>
    <w:rsid w:val="00967913"/>
    <w:rsid w:val="00971BBA"/>
    <w:rsid w:val="00976055"/>
    <w:rsid w:val="0099729C"/>
    <w:rsid w:val="009C0CC8"/>
    <w:rsid w:val="009C2EBA"/>
    <w:rsid w:val="009E32B2"/>
    <w:rsid w:val="009E45D6"/>
    <w:rsid w:val="009F43AD"/>
    <w:rsid w:val="00A05D1F"/>
    <w:rsid w:val="00A13C9C"/>
    <w:rsid w:val="00A374FF"/>
    <w:rsid w:val="00A400A0"/>
    <w:rsid w:val="00A44712"/>
    <w:rsid w:val="00A64C65"/>
    <w:rsid w:val="00AB4083"/>
    <w:rsid w:val="00AC6A08"/>
    <w:rsid w:val="00AD2674"/>
    <w:rsid w:val="00AF1F63"/>
    <w:rsid w:val="00B07D07"/>
    <w:rsid w:val="00B264D7"/>
    <w:rsid w:val="00B55831"/>
    <w:rsid w:val="00B645A6"/>
    <w:rsid w:val="00B74521"/>
    <w:rsid w:val="00B85916"/>
    <w:rsid w:val="00BB3B9E"/>
    <w:rsid w:val="00BC65CB"/>
    <w:rsid w:val="00C00033"/>
    <w:rsid w:val="00C12F16"/>
    <w:rsid w:val="00C26AF5"/>
    <w:rsid w:val="00C3594D"/>
    <w:rsid w:val="00C50E10"/>
    <w:rsid w:val="00C54BDA"/>
    <w:rsid w:val="00C5500C"/>
    <w:rsid w:val="00C97044"/>
    <w:rsid w:val="00CF1E74"/>
    <w:rsid w:val="00CF2C31"/>
    <w:rsid w:val="00D055D1"/>
    <w:rsid w:val="00D22DFD"/>
    <w:rsid w:val="00D32328"/>
    <w:rsid w:val="00D3474F"/>
    <w:rsid w:val="00D42301"/>
    <w:rsid w:val="00D45189"/>
    <w:rsid w:val="00D9350F"/>
    <w:rsid w:val="00DC1FE5"/>
    <w:rsid w:val="00DC669D"/>
    <w:rsid w:val="00DE6D95"/>
    <w:rsid w:val="00E056C0"/>
    <w:rsid w:val="00E127F1"/>
    <w:rsid w:val="00E229B7"/>
    <w:rsid w:val="00E26387"/>
    <w:rsid w:val="00E31180"/>
    <w:rsid w:val="00E31E8D"/>
    <w:rsid w:val="00E332B9"/>
    <w:rsid w:val="00E80AF6"/>
    <w:rsid w:val="00EA55B4"/>
    <w:rsid w:val="00ED1532"/>
    <w:rsid w:val="00F135C0"/>
    <w:rsid w:val="00F1606D"/>
    <w:rsid w:val="00F16C8A"/>
    <w:rsid w:val="00F34F0A"/>
    <w:rsid w:val="00F54946"/>
    <w:rsid w:val="00F66E79"/>
    <w:rsid w:val="00F82DDF"/>
    <w:rsid w:val="00F83478"/>
    <w:rsid w:val="00F83CEB"/>
    <w:rsid w:val="00FA67BA"/>
    <w:rsid w:val="00FB082F"/>
    <w:rsid w:val="00FB44B9"/>
    <w:rsid w:val="00FD264B"/>
    <w:rsid w:val="00FE57EC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FE936E7"/>
  <w15:docId w15:val="{99355590-9777-446E-9C70-FD1510B994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har"/>
    <w:uiPriority w:val="9"/>
    <w:qFormat/>
    <w:rsid w:val="00744D4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tulo2">
    <w:name w:val="heading 2"/>
    <w:basedOn w:val="Ttulo1"/>
    <w:next w:val="Normal"/>
    <w:link w:val="Ttulo2Char"/>
    <w:autoRedefine/>
    <w:uiPriority w:val="9"/>
    <w:unhideWhenUsed/>
    <w:qFormat/>
    <w:rsid w:val="00744D45"/>
    <w:pPr>
      <w:pBdr>
        <w:top w:val="nil"/>
        <w:left w:val="nil"/>
        <w:bottom w:val="nil"/>
        <w:right w:val="nil"/>
        <w:between w:val="nil"/>
        <w:bar w:val="nil"/>
      </w:pBdr>
      <w:spacing w:before="240" w:after="120" w:line="360" w:lineRule="auto"/>
      <w:ind w:left="360"/>
      <w:jc w:val="both"/>
      <w:outlineLvl w:val="1"/>
    </w:pPr>
    <w:rPr>
      <w:rFonts w:ascii="Times New Roman" w:hAnsi="Times New Roman" w:cs="Arial"/>
      <w:color w:val="auto"/>
      <w:sz w:val="24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customStyle="1" w:styleId="Ttulo2Char">
    <w:name w:val="Título 2 Char"/>
    <w:basedOn w:val="Fontepargpadro"/>
    <w:link w:val="Ttulo2"/>
    <w:uiPriority w:val="9"/>
    <w:rsid w:val="00744D45"/>
    <w:rPr>
      <w:rFonts w:ascii="Times New Roman" w:eastAsiaTheme="majorEastAsia" w:hAnsi="Times New Roman" w:cs="Arial"/>
      <w:b/>
      <w:bCs/>
      <w:sz w:val="24"/>
      <w:szCs w:val="28"/>
      <w:lang w:eastAsia="en-US"/>
    </w:rPr>
  </w:style>
  <w:style w:type="paragraph" w:styleId="Citao">
    <w:name w:val="Quote"/>
    <w:basedOn w:val="Normal"/>
    <w:next w:val="Normal"/>
    <w:link w:val="CitaoChar"/>
    <w:autoRedefine/>
    <w:uiPriority w:val="29"/>
    <w:qFormat/>
    <w:rsid w:val="00744D4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ind w:left="1701"/>
      <w:jc w:val="both"/>
    </w:pPr>
    <w:rPr>
      <w:rFonts w:ascii="Times New Roman" w:eastAsiaTheme="minorEastAsia" w:hAnsi="Times New Roman" w:cstheme="minorBidi"/>
      <w:color w:val="000000"/>
      <w:szCs w:val="24"/>
      <w:lang w:val="pt-PT"/>
    </w:rPr>
  </w:style>
  <w:style w:type="character" w:customStyle="1" w:styleId="CitaoChar">
    <w:name w:val="Citação Char"/>
    <w:basedOn w:val="Fontepargpadro"/>
    <w:link w:val="Citao"/>
    <w:uiPriority w:val="29"/>
    <w:rsid w:val="00744D45"/>
    <w:rPr>
      <w:rFonts w:ascii="Times New Roman" w:eastAsiaTheme="minorEastAsia" w:hAnsi="Times New Roman" w:cstheme="minorBidi"/>
      <w:color w:val="000000"/>
      <w:sz w:val="22"/>
      <w:szCs w:val="24"/>
      <w:lang w:val="pt-PT" w:eastAsia="en-US"/>
    </w:rPr>
  </w:style>
  <w:style w:type="paragraph" w:styleId="Legenda">
    <w:name w:val="caption"/>
    <w:basedOn w:val="Normal"/>
    <w:next w:val="Normal"/>
    <w:autoRedefine/>
    <w:uiPriority w:val="35"/>
    <w:unhideWhenUsed/>
    <w:qFormat/>
    <w:rsid w:val="008A721A"/>
    <w:pPr>
      <w:spacing w:after="0" w:line="240" w:lineRule="auto"/>
      <w:jc w:val="center"/>
    </w:pPr>
    <w:rPr>
      <w:rFonts w:asciiTheme="minorHAnsi" w:eastAsiaTheme="minorHAnsi" w:hAnsiTheme="minorHAnsi" w:cstheme="minorBidi"/>
      <w:sz w:val="18"/>
      <w:szCs w:val="18"/>
      <w:lang w:val="en-US"/>
    </w:rPr>
  </w:style>
  <w:style w:type="character" w:styleId="Refdenotaderodap">
    <w:name w:val="footnote reference"/>
    <w:basedOn w:val="Fontepargpadro"/>
    <w:uiPriority w:val="99"/>
    <w:unhideWhenUsed/>
    <w:rsid w:val="00744D45"/>
    <w:rPr>
      <w:rFonts w:ascii="Arial" w:hAnsi="Arial"/>
      <w:sz w:val="22"/>
      <w:vertAlign w:val="superscript"/>
    </w:rPr>
  </w:style>
  <w:style w:type="table" w:styleId="Tabelacomgrade">
    <w:name w:val="Table Grid"/>
    <w:basedOn w:val="Tabelanormal"/>
    <w:uiPriority w:val="59"/>
    <w:rsid w:val="00744D45"/>
    <w:rPr>
      <w:rFonts w:ascii="Times New Roman" w:eastAsia="Arial Unicode MS" w:hAnsi="Times New Roman"/>
      <w:sz w:val="24"/>
      <w:szCs w:val="24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uiPriority w:val="9"/>
    <w:rsid w:val="00744D45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en-US"/>
    </w:rPr>
  </w:style>
  <w:style w:type="character" w:styleId="Refdecomentrio">
    <w:name w:val="annotation reference"/>
    <w:basedOn w:val="Fontepargpadro"/>
    <w:uiPriority w:val="99"/>
    <w:semiHidden/>
    <w:unhideWhenUsed/>
    <w:rsid w:val="00413E3B"/>
    <w:rPr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413E3B"/>
    <w:pPr>
      <w:spacing w:line="240" w:lineRule="auto"/>
    </w:pPr>
    <w:rPr>
      <w:sz w:val="24"/>
      <w:szCs w:val="24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413E3B"/>
    <w:rPr>
      <w:sz w:val="24"/>
      <w:szCs w:val="24"/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413E3B"/>
    <w:rPr>
      <w:b/>
      <w:bCs/>
      <w:sz w:val="20"/>
      <w:szCs w:val="20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413E3B"/>
    <w:rPr>
      <w:b/>
      <w:bCs/>
      <w:sz w:val="24"/>
      <w:szCs w:val="24"/>
      <w:lang w:eastAsia="en-US"/>
    </w:rPr>
  </w:style>
  <w:style w:type="paragraph" w:customStyle="1" w:styleId="EndNoteBibliographyTitle">
    <w:name w:val="EndNote Bibliography Title"/>
    <w:basedOn w:val="Normal"/>
    <w:rsid w:val="00A374FF"/>
    <w:pPr>
      <w:spacing w:after="0"/>
      <w:jc w:val="center"/>
    </w:pPr>
    <w:rPr>
      <w:lang w:val="en-US"/>
    </w:rPr>
  </w:style>
  <w:style w:type="paragraph" w:customStyle="1" w:styleId="EndNoteBibliography">
    <w:name w:val="EndNote Bibliography"/>
    <w:basedOn w:val="Normal"/>
    <w:rsid w:val="000E1CAD"/>
    <w:pPr>
      <w:spacing w:before="120" w:after="320" w:line="240" w:lineRule="auto"/>
    </w:pPr>
    <w:rPr>
      <w:lang w:val="en-US"/>
    </w:rPr>
  </w:style>
  <w:style w:type="character" w:styleId="Hyperlink">
    <w:name w:val="Hyperlink"/>
    <w:basedOn w:val="Fontepargpadro"/>
    <w:uiPriority w:val="99"/>
    <w:unhideWhenUsed/>
    <w:rsid w:val="00A374FF"/>
    <w:rPr>
      <w:color w:val="0000FF" w:themeColor="hyperlink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C97044"/>
    <w:rPr>
      <w:color w:val="800080" w:themeColor="followedHyperlink"/>
      <w:u w:val="single"/>
    </w:rPr>
  </w:style>
  <w:style w:type="paragraph" w:styleId="Textodenotaderodap">
    <w:name w:val="footnote text"/>
    <w:basedOn w:val="Normal"/>
    <w:link w:val="TextodenotaderodapChar"/>
    <w:uiPriority w:val="99"/>
    <w:unhideWhenUsed/>
    <w:rsid w:val="007708B0"/>
    <w:pPr>
      <w:spacing w:after="0" w:line="240" w:lineRule="auto"/>
    </w:pPr>
    <w:rPr>
      <w:sz w:val="24"/>
      <w:szCs w:val="24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rsid w:val="007708B0"/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6.jpeg"/><Relationship Id="rId18" Type="http://schemas.openxmlformats.org/officeDocument/2006/relationships/hyperlink" Target="http://www.iconeye.com/architecture/features/item/9674-peter-zumthor-s-vardo-memorial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image" Target="media/image5.png"/><Relationship Id="rId17" Type="http://schemas.openxmlformats.org/officeDocument/2006/relationships/hyperlink" Target="http://www.dezeen.com/2012/01/03/steilneset-memorial-by-peter-zumthor-and-louise-bourgeois/" TargetMode="External"/><Relationship Id="rId2" Type="http://schemas.openxmlformats.org/officeDocument/2006/relationships/styles" Target="styles.xml"/><Relationship Id="rId16" Type="http://schemas.openxmlformats.org/officeDocument/2006/relationships/hyperlink" Target="http://architectureau.com/articles/witchcraft-memorial-vardo-norway/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footer" Target="footer2.xml"/><Relationship Id="rId19" Type="http://schemas.openxmlformats.org/officeDocument/2006/relationships/hyperlink" Target="http://openbuildings.com/buildings/steilneset-witch-trial-memorial-profile-41856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>
    <b:Tag>HOF13</b:Tag>
    <b:SourceType>ArticleInAPeriodical</b:SourceType>
    <b:Guid>{65F92BF7-FEA9-7C4D-85BB-E198BB8D078E}</b:Guid>
    <b:Author>
      <b:Author>
        <b:NameList>
          <b:Person>
            <b:Last>HOFMEISTER</b:Last>
            <b:First>Sandra</b:First>
          </b:Person>
        </b:NameList>
      </b:Author>
    </b:Author>
    <b:Title>Sense of place: The sculptor in Zumthor</b:Title>
    <b:InternetSiteTitle>DAMNo: A magazine on contemporary culture</b:InternetSiteTitle>
    <b:URL>http://www.damnmagazine.net/en/article/sense-of-place</b:URL>
    <b:Year>2013</b:Year>
    <b:Month>janeiro</b:Month>
    <b:Day>01</b:Day>
    <b:YearAccessed>2014</b:YearAccessed>
    <b:MonthAccessed>julho</b:MonthAccessed>
    <b:DayAccessed>17</b:DayAccessed>
    <b:Comments>Disponível em: http://www.damnmagazine.net/en/article/sense-of-place</b:Comments>
    <b:PeriodicalTitle>DAMN: A magazine on contemporary culture</b:PeriodicalTitle>
    <b:Publisher>Damn Magazine</b:Publisher>
    <b:Edition>36</b:Edition>
    <b:RefOrder>1</b:RefOrder>
  </b:Source>
</b:Sources>
</file>

<file path=customXml/itemProps1.xml><?xml version="1.0" encoding="utf-8"?>
<ds:datastoreItem xmlns:ds="http://schemas.openxmlformats.org/officeDocument/2006/customXml" ds:itemID="{9530F220-D4A8-4838-AFBA-A5F9F31F54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4</Pages>
  <Words>3042</Words>
  <Characters>16427</Characters>
  <Application>Microsoft Office Word</Application>
  <DocSecurity>0</DocSecurity>
  <Lines>136</Lines>
  <Paragraphs>38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19431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Michelle Obama</cp:lastModifiedBy>
  <cp:revision>40</cp:revision>
  <cp:lastPrinted>2015-02-09T21:42:00Z</cp:lastPrinted>
  <dcterms:created xsi:type="dcterms:W3CDTF">2015-01-09T12:42:00Z</dcterms:created>
  <dcterms:modified xsi:type="dcterms:W3CDTF">2015-02-09T21:42:00Z</dcterms:modified>
</cp:coreProperties>
</file>